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1F71CD" w:rsidRPr="00DF4D32" w:rsidRDefault="007C2AC4" w:rsidP="00DF4D32">
      <w:pPr>
        <w:jc w:val="center"/>
        <w:rPr>
          <w:b/>
          <w:sz w:val="28"/>
          <w:szCs w:val="28"/>
        </w:rPr>
      </w:pPr>
      <w:r w:rsidRPr="007C2AC4">
        <w:rPr>
          <w:b/>
          <w:sz w:val="28"/>
          <w:szCs w:val="28"/>
          <w:lang w:val="ru-RU"/>
        </w:rPr>
        <w:t>Дитячий спортивно-</w:t>
      </w:r>
      <w:proofErr w:type="spellStart"/>
      <w:r w:rsidRPr="007C2AC4">
        <w:rPr>
          <w:b/>
          <w:sz w:val="28"/>
          <w:szCs w:val="28"/>
          <w:lang w:val="ru-RU"/>
        </w:rPr>
        <w:t>ігровий</w:t>
      </w:r>
      <w:proofErr w:type="spellEnd"/>
      <w:r w:rsidRPr="007C2AC4">
        <w:rPr>
          <w:b/>
          <w:sz w:val="28"/>
          <w:szCs w:val="28"/>
          <w:lang w:val="ru-RU"/>
        </w:rPr>
        <w:t xml:space="preserve"> </w:t>
      </w:r>
      <w:proofErr w:type="spellStart"/>
      <w:r w:rsidRPr="007C2AC4">
        <w:rPr>
          <w:b/>
          <w:sz w:val="28"/>
          <w:szCs w:val="28"/>
          <w:lang w:val="ru-RU"/>
        </w:rPr>
        <w:t>майданчик</w:t>
      </w:r>
      <w:proofErr w:type="spellEnd"/>
      <w:r w:rsidRPr="007C2AC4">
        <w:rPr>
          <w:b/>
          <w:sz w:val="28"/>
          <w:szCs w:val="28"/>
          <w:lang w:val="ru-RU"/>
        </w:rPr>
        <w:t xml:space="preserve"> "ЯР"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7C2AC4">
        <w:rPr>
          <w:color w:val="auto"/>
          <w:lang w:val="uk-UA"/>
        </w:rPr>
        <w:t>15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Pr="00566B48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  <w:bookmarkStart w:id="0" w:name="_GoBack"/>
      <w:bookmarkEnd w:id="0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7C2AC4">
        <w:t>194</w:t>
      </w:r>
      <w:r w:rsidR="00894B09">
        <w:t xml:space="preserve"> 000</w:t>
      </w:r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lastRenderedPageBreak/>
        <w:t>Обґрунтування внесених змін: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2A6F1F" w:rsidRDefault="002A6F1F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2A6F1F">
        <w:t xml:space="preserve">а) потребує </w:t>
      </w:r>
    </w:p>
    <w:p w:rsidR="00D0129C" w:rsidRPr="002A6F1F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2A6F1F">
        <w:rPr>
          <w:b/>
          <w:u w:val="single"/>
        </w:rPr>
        <w:t>б) не потребує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sectPr w:rsidR="00D0129C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2A6F1F"/>
    <w:rsid w:val="00350764"/>
    <w:rsid w:val="00566B48"/>
    <w:rsid w:val="006971BC"/>
    <w:rsid w:val="007C2AC4"/>
    <w:rsid w:val="0080218E"/>
    <w:rsid w:val="00894B09"/>
    <w:rsid w:val="00AC5ED4"/>
    <w:rsid w:val="00D0129C"/>
    <w:rsid w:val="00DF4D32"/>
    <w:rsid w:val="00E82E21"/>
    <w:rsid w:val="00F561F4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5316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dcterms:created xsi:type="dcterms:W3CDTF">2022-01-05T09:17:00Z</dcterms:created>
  <dcterms:modified xsi:type="dcterms:W3CDTF">2022-02-03T09:11:00Z</dcterms:modified>
</cp:coreProperties>
</file>