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4A1B96">
        <w:rPr>
          <w:b/>
          <w:bCs/>
          <w:sz w:val="28"/>
          <w:szCs w:val="28"/>
          <w:lang w:val="uk-UA"/>
        </w:rPr>
        <w:t>Спортивний майданчик для міні-футболу та дитячий розважальний майданчик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4A1B96">
        <w:rPr>
          <w:lang w:val="uk-UA"/>
        </w:rPr>
        <w:t>77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4A1B96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Земляні та підготовчі роботи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4A1B96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FE4579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</w:t>
            </w:r>
          </w:p>
        </w:tc>
      </w:tr>
      <w:tr w:rsidR="004A1B96" w:rsidRPr="008752B6" w:rsidTr="00390E1C">
        <w:tc>
          <w:tcPr>
            <w:tcW w:w="2186" w:type="dxa"/>
            <w:shd w:val="clear" w:color="auto" w:fill="auto"/>
          </w:tcPr>
          <w:p w:rsidR="004A1B96" w:rsidRDefault="004A1B96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4A1B96" w:rsidRPr="000B1FB8" w:rsidRDefault="004A1B96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A1B96" w:rsidRPr="000B1FB8" w:rsidRDefault="004A1B96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A1B96" w:rsidRDefault="004A1B96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</w:t>
            </w:r>
          </w:p>
        </w:tc>
        <w:tc>
          <w:tcPr>
            <w:tcW w:w="1139" w:type="dxa"/>
            <w:shd w:val="clear" w:color="auto" w:fill="auto"/>
          </w:tcPr>
          <w:p w:rsidR="004A1B96" w:rsidRPr="000B1FB8" w:rsidRDefault="004A1B96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A1B96" w:rsidRPr="000B1FB8" w:rsidRDefault="004A1B96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4A1B96" w:rsidRPr="000B1FB8" w:rsidRDefault="00FE4579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</w:t>
            </w:r>
          </w:p>
        </w:tc>
      </w:tr>
      <w:tr w:rsidR="004A1B96" w:rsidRPr="008752B6" w:rsidTr="00390E1C">
        <w:tc>
          <w:tcPr>
            <w:tcW w:w="2186" w:type="dxa"/>
            <w:shd w:val="clear" w:color="auto" w:fill="auto"/>
          </w:tcPr>
          <w:p w:rsidR="004A1B96" w:rsidRPr="000B1FB8" w:rsidRDefault="004A1B96" w:rsidP="004A1B96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Штучна трава </w:t>
            </w:r>
          </w:p>
        </w:tc>
        <w:tc>
          <w:tcPr>
            <w:tcW w:w="1259" w:type="dxa"/>
            <w:shd w:val="clear" w:color="auto" w:fill="auto"/>
          </w:tcPr>
          <w:p w:rsidR="004A1B96" w:rsidRPr="000B1FB8" w:rsidRDefault="004A1B96" w:rsidP="004A1B9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A1B96" w:rsidRPr="000B1FB8" w:rsidRDefault="004A1B96" w:rsidP="004A1B9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375</w:t>
            </w:r>
          </w:p>
        </w:tc>
        <w:tc>
          <w:tcPr>
            <w:tcW w:w="1349" w:type="dxa"/>
            <w:shd w:val="clear" w:color="auto" w:fill="auto"/>
          </w:tcPr>
          <w:p w:rsidR="004A1B96" w:rsidRPr="000B1FB8" w:rsidRDefault="004A1B96" w:rsidP="004A1B9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215000</w:t>
            </w:r>
          </w:p>
        </w:tc>
        <w:tc>
          <w:tcPr>
            <w:tcW w:w="1139" w:type="dxa"/>
            <w:shd w:val="clear" w:color="auto" w:fill="auto"/>
          </w:tcPr>
          <w:p w:rsidR="004A1B96" w:rsidRPr="000B1FB8" w:rsidRDefault="004A1B96" w:rsidP="004A1B9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4A1B96" w:rsidRPr="000B1FB8" w:rsidRDefault="00FE4579" w:rsidP="004A1B9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375</w:t>
            </w:r>
          </w:p>
        </w:tc>
        <w:tc>
          <w:tcPr>
            <w:tcW w:w="1228" w:type="dxa"/>
            <w:shd w:val="clear" w:color="auto" w:fill="auto"/>
          </w:tcPr>
          <w:p w:rsidR="004A1B96" w:rsidRPr="000B1FB8" w:rsidRDefault="00FE4579" w:rsidP="004A1B9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412500</w:t>
            </w:r>
          </w:p>
        </w:tc>
      </w:tr>
      <w:tr w:rsidR="00FE4579" w:rsidRPr="008752B6" w:rsidTr="00390E1C"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З’єднувальна стрічка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</w:t>
            </w: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</w:t>
            </w: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FE4579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Клей двокомпонентний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</w:t>
            </w: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</w:t>
            </w: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11000</w:t>
            </w:r>
          </w:p>
        </w:tc>
      </w:tr>
      <w:tr w:rsidR="00FE4579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Резинова крихта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</w:tr>
      <w:tr w:rsidR="00FE4579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Пісок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кварцевий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18000</w:t>
            </w:r>
          </w:p>
        </w:tc>
      </w:tr>
      <w:tr w:rsidR="00FE4579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Ворота тренувальні «Юніор» </w:t>
            </w:r>
          </w:p>
        </w:tc>
        <w:tc>
          <w:tcPr>
            <w:tcW w:w="1259" w:type="dxa"/>
            <w:shd w:val="clear" w:color="auto" w:fill="auto"/>
          </w:tcPr>
          <w:p w:rsidR="00FE4579" w:rsidRPr="00FE4579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FE4579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:rsidR="00FE4579" w:rsidRPr="00FE4579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FE4579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FE4579" w:rsidRPr="00FE4579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22000</w:t>
            </w:r>
          </w:p>
        </w:tc>
      </w:tr>
      <w:tr w:rsidR="00FE4579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Ігровий комплекс «Вежа»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45000</w:t>
            </w:r>
          </w:p>
        </w:tc>
      </w:tr>
      <w:tr w:rsidR="00FE4579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Подвійна гойдалка на металевих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стійках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</w:tr>
      <w:tr w:rsidR="00FE4579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Пісочниця велика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8500</w:t>
            </w:r>
          </w:p>
        </w:tc>
      </w:tr>
      <w:tr w:rsidR="00FE4579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Карусель</w:t>
            </w:r>
          </w:p>
        </w:tc>
        <w:tc>
          <w:tcPr>
            <w:tcW w:w="125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13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FE4579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Урна</w:t>
            </w:r>
          </w:p>
        </w:tc>
        <w:tc>
          <w:tcPr>
            <w:tcW w:w="125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5200</w:t>
            </w:r>
          </w:p>
        </w:tc>
        <w:tc>
          <w:tcPr>
            <w:tcW w:w="113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5200</w:t>
            </w:r>
          </w:p>
        </w:tc>
      </w:tr>
      <w:tr w:rsidR="00FE4579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Лавка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14000</w:t>
            </w:r>
          </w:p>
        </w:tc>
      </w:tr>
      <w:tr w:rsidR="00FE4579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Жим сидячи від грудей – тяга зверху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14000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14000</w:t>
            </w:r>
          </w:p>
        </w:tc>
      </w:tr>
      <w:tr w:rsidR="00FE4579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Тренажер для сідничних, привідних і відвідних м’язів стегна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9000</w:t>
            </w:r>
          </w:p>
        </w:tc>
      </w:tr>
      <w:tr w:rsidR="00FE4579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Гребний тренажер</w:t>
            </w:r>
          </w:p>
        </w:tc>
        <w:tc>
          <w:tcPr>
            <w:tcW w:w="125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8000</w:t>
            </w:r>
          </w:p>
        </w:tc>
        <w:tc>
          <w:tcPr>
            <w:tcW w:w="113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8000</w:t>
            </w:r>
          </w:p>
        </w:tc>
      </w:tr>
      <w:tr w:rsidR="00FE4579" w:rsidRPr="008752B6" w:rsidTr="00390E1C">
        <w:trPr>
          <w:trHeight w:val="88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Орбітрек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</w:t>
            </w:r>
          </w:p>
        </w:tc>
      </w:tr>
      <w:tr w:rsidR="00FE4579" w:rsidRPr="008752B6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та встановлення обладнання</w:t>
            </w:r>
          </w:p>
        </w:tc>
        <w:tc>
          <w:tcPr>
            <w:tcW w:w="125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55000</w:t>
            </w:r>
          </w:p>
        </w:tc>
        <w:tc>
          <w:tcPr>
            <w:tcW w:w="1139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4A1B96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39200</w:t>
            </w:r>
          </w:p>
        </w:tc>
      </w:tr>
      <w:tr w:rsidR="00FE4579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Бетонний бордюр навколо майданчика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</w:t>
            </w:r>
          </w:p>
        </w:tc>
      </w:tr>
      <w:tr w:rsidR="00FE4579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Благоустрій дитячого спортивного майданчика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30000</w:t>
            </w:r>
          </w:p>
        </w:tc>
      </w:tr>
      <w:tr w:rsidR="00FE4579" w:rsidRPr="008752B6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Інфляція та непередбачувані витрати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FE4579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FE457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853BF8" w:rsidP="00FE457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FE457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853BF8" w:rsidP="00FE457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16900</w:t>
            </w:r>
          </w:p>
        </w:tc>
      </w:tr>
      <w:tr w:rsidR="00FE457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853BF8" w:rsidP="00FE457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50200</w:t>
            </w:r>
          </w:p>
        </w:tc>
      </w:tr>
      <w:tr w:rsidR="00FE457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853BF8" w:rsidP="00FE457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9360</w:t>
            </w:r>
          </w:p>
        </w:tc>
      </w:tr>
      <w:tr w:rsidR="00FE457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853BF8" w:rsidP="00FE457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13500</w:t>
            </w:r>
          </w:p>
        </w:tc>
      </w:tr>
      <w:tr w:rsidR="00FE457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853BF8" w:rsidP="00FE457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91000</w:t>
            </w:r>
          </w:p>
        </w:tc>
      </w:tr>
      <w:tr w:rsidR="00FE457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853BF8" w:rsidP="00FE457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193482</w:t>
            </w:r>
          </w:p>
        </w:tc>
      </w:tr>
      <w:tr w:rsidR="00FE4579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E4579" w:rsidRPr="000B1FB8" w:rsidRDefault="00FE4579" w:rsidP="00FE457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675700</w:t>
            </w:r>
          </w:p>
        </w:tc>
        <w:tc>
          <w:tcPr>
            <w:tcW w:w="1139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E4579" w:rsidRPr="000B1FB8" w:rsidRDefault="00FE4579" w:rsidP="00FE457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E4579" w:rsidRPr="000B1FB8" w:rsidRDefault="00853BF8" w:rsidP="00FE4579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1160892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0B1FB8">
        <w:t>67</w:t>
      </w:r>
      <w:r w:rsidR="004A1B96">
        <w:t>5700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853BF8">
        <w:t>1160892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853BF8">
        <w:rPr>
          <w:lang w:val="uk-UA"/>
        </w:rPr>
        <w:t>1160892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</w:t>
      </w:r>
      <w:proofErr w:type="spellStart"/>
      <w:r w:rsidR="00D4379B">
        <w:rPr>
          <w:lang w:val="uk-UA"/>
        </w:rPr>
        <w:t>занижено</w:t>
      </w:r>
      <w:proofErr w:type="spellEnd"/>
      <w:r w:rsidR="00D4379B">
        <w:rPr>
          <w:lang w:val="uk-UA"/>
        </w:rPr>
        <w:t xml:space="preserve"> вартість штучної трави, </w:t>
      </w:r>
      <w:r>
        <w:t xml:space="preserve">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1C37D2">
        <w:rPr>
          <w:lang w:val="uk-UA"/>
        </w:rPr>
        <w:t>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</w:t>
      </w:r>
      <w:r w:rsidRPr="008752B6">
        <w:lastRenderedPageBreak/>
        <w:t xml:space="preserve">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D4379B">
        <w:t>1160892</w:t>
      </w:r>
      <w:r w:rsidR="00BB34BB">
        <w:t>,0</w:t>
      </w:r>
      <w:r w:rsidRPr="000D3100">
        <w:t xml:space="preserve"> грн, що на </w:t>
      </w:r>
      <w:r w:rsidR="00D4379B">
        <w:t>410892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0761B"/>
    <w:rsid w:val="001A5C41"/>
    <w:rsid w:val="001C37D2"/>
    <w:rsid w:val="00390E1C"/>
    <w:rsid w:val="003D3971"/>
    <w:rsid w:val="003E7051"/>
    <w:rsid w:val="00447A6A"/>
    <w:rsid w:val="004A1B96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53BF8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4379B"/>
    <w:rsid w:val="00D62CE0"/>
    <w:rsid w:val="00EA75B9"/>
    <w:rsid w:val="00F01035"/>
    <w:rsid w:val="00F05FA7"/>
    <w:rsid w:val="00F138B3"/>
    <w:rsid w:val="00FE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7086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5</cp:revision>
  <cp:lastPrinted>2017-10-25T06:47:00Z</cp:lastPrinted>
  <dcterms:created xsi:type="dcterms:W3CDTF">2019-02-07T13:35:00Z</dcterms:created>
  <dcterms:modified xsi:type="dcterms:W3CDTF">2019-02-07T14:21:00Z</dcterms:modified>
</cp:coreProperties>
</file>