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D5070E">
        <w:rPr>
          <w:b/>
          <w:bCs/>
          <w:sz w:val="28"/>
          <w:szCs w:val="28"/>
          <w:lang w:val="uk-UA"/>
        </w:rPr>
        <w:t>Спортивний простір «Єдність нації»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D5070E">
        <w:rPr>
          <w:lang w:val="uk-UA"/>
        </w:rPr>
        <w:t>62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3"/>
        <w:gridCol w:w="1227"/>
        <w:gridCol w:w="1336"/>
        <w:gridCol w:w="1139"/>
        <w:gridCol w:w="1226"/>
        <w:gridCol w:w="1261"/>
      </w:tblGrid>
      <w:tr w:rsidR="004E013D" w:rsidRPr="008752B6" w:rsidTr="00171CE0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1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171CE0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3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D5070E" w:rsidRPr="008752B6" w:rsidTr="00171CE0">
        <w:tc>
          <w:tcPr>
            <w:tcW w:w="2186" w:type="dxa"/>
            <w:shd w:val="clear" w:color="auto" w:fill="auto"/>
          </w:tcPr>
          <w:p w:rsidR="00D5070E" w:rsidRPr="00D5070E" w:rsidRDefault="00D5070E" w:rsidP="00D5070E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Огорожа, секції (3000х2000) + монтажні роботи</w:t>
            </w:r>
          </w:p>
        </w:tc>
        <w:tc>
          <w:tcPr>
            <w:tcW w:w="1253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 xml:space="preserve">180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27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820</w:t>
            </w:r>
          </w:p>
        </w:tc>
        <w:tc>
          <w:tcPr>
            <w:tcW w:w="1336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147600</w:t>
            </w:r>
          </w:p>
        </w:tc>
        <w:tc>
          <w:tcPr>
            <w:tcW w:w="1139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5070E" w:rsidRPr="00D5070E" w:rsidRDefault="00D5070E" w:rsidP="00D5070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71CE0" w:rsidRPr="008752B6" w:rsidTr="00171CE0"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Огорожа, секції (</w:t>
            </w:r>
            <w:r>
              <w:rPr>
                <w:rFonts w:eastAsia="Arial Unicode MS"/>
                <w:sz w:val="22"/>
                <w:szCs w:val="22"/>
              </w:rPr>
              <w:t>1460</w:t>
            </w:r>
            <w:r w:rsidRPr="00D5070E">
              <w:rPr>
                <w:rFonts w:eastAsia="Arial Unicode MS"/>
                <w:sz w:val="22"/>
                <w:szCs w:val="22"/>
              </w:rPr>
              <w:t>х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000) + монтажні роботи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98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м.п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171CE0" w:rsidRPr="00946489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1279,02</w:t>
            </w:r>
          </w:p>
        </w:tc>
        <w:tc>
          <w:tcPr>
            <w:tcW w:w="1261" w:type="dxa"/>
            <w:shd w:val="clear" w:color="auto" w:fill="auto"/>
          </w:tcPr>
          <w:p w:rsidR="00171CE0" w:rsidRPr="004F372F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125343,96</w:t>
            </w:r>
          </w:p>
        </w:tc>
      </w:tr>
      <w:tr w:rsidR="00171CE0" w:rsidRPr="008752B6" w:rsidTr="00171CE0"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бетонного покриття 100 мм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380 грн/м2</w:t>
            </w: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266000</w:t>
            </w: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71CE0" w:rsidRPr="008752B6" w:rsidTr="00171CE0"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бетонного покриття 1</w:t>
            </w:r>
            <w:r>
              <w:rPr>
                <w:rFonts w:eastAsia="Arial Unicode MS"/>
                <w:sz w:val="22"/>
                <w:szCs w:val="22"/>
              </w:rPr>
              <w:t>3</w:t>
            </w:r>
            <w:r w:rsidRPr="00D5070E">
              <w:rPr>
                <w:rFonts w:eastAsia="Arial Unicode MS"/>
                <w:sz w:val="22"/>
                <w:szCs w:val="22"/>
              </w:rPr>
              <w:t>0 мм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226" w:type="dxa"/>
            <w:shd w:val="clear" w:color="auto" w:fill="auto"/>
          </w:tcPr>
          <w:p w:rsidR="00171CE0" w:rsidRPr="00946489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339,56</w:t>
            </w:r>
          </w:p>
        </w:tc>
        <w:tc>
          <w:tcPr>
            <w:tcW w:w="1261" w:type="dxa"/>
            <w:shd w:val="clear" w:color="auto" w:fill="auto"/>
          </w:tcPr>
          <w:p w:rsidR="00171CE0" w:rsidRPr="00946489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201026,31</w:t>
            </w:r>
          </w:p>
        </w:tc>
      </w:tr>
      <w:tr w:rsidR="00171CE0" w:rsidRPr="008752B6" w:rsidTr="00171CE0"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резинового покриття 16 мм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700 м2</w:t>
            </w: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740 грн/м2</w:t>
            </w: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518000</w:t>
            </w: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71CE0" w:rsidRPr="008752B6" w:rsidTr="00171CE0"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Улаштування резинового покриття 1</w:t>
            </w:r>
            <w:r>
              <w:rPr>
                <w:rFonts w:eastAsia="Arial Unicode MS"/>
                <w:sz w:val="22"/>
                <w:szCs w:val="22"/>
              </w:rPr>
              <w:t>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мм (Ціна з урахуванням </w:t>
            </w:r>
            <w:r w:rsidRPr="00D5070E">
              <w:rPr>
                <w:rFonts w:eastAsia="Arial Unicode MS"/>
                <w:sz w:val="22"/>
                <w:szCs w:val="22"/>
              </w:rPr>
              <w:lastRenderedPageBreak/>
              <w:t>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592,02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м2</w:t>
            </w:r>
          </w:p>
        </w:tc>
        <w:tc>
          <w:tcPr>
            <w:tcW w:w="1226" w:type="dxa"/>
            <w:shd w:val="clear" w:color="auto" w:fill="auto"/>
          </w:tcPr>
          <w:p w:rsidR="00171CE0" w:rsidRPr="00946489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727,68</w:t>
            </w:r>
          </w:p>
        </w:tc>
        <w:tc>
          <w:tcPr>
            <w:tcW w:w="1261" w:type="dxa"/>
            <w:shd w:val="clear" w:color="auto" w:fill="auto"/>
          </w:tcPr>
          <w:p w:rsidR="00171CE0" w:rsidRPr="00946489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430801,11</w:t>
            </w:r>
          </w:p>
        </w:tc>
      </w:tr>
      <w:tr w:rsidR="00171CE0" w:rsidRPr="008752B6" w:rsidTr="00171CE0">
        <w:trPr>
          <w:trHeight w:val="241"/>
        </w:trPr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lastRenderedPageBreak/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волейболу з сіткою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36000</w:t>
            </w: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комплект</w:t>
            </w:r>
          </w:p>
        </w:tc>
        <w:tc>
          <w:tcPr>
            <w:tcW w:w="122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7416,00</w:t>
            </w:r>
          </w:p>
        </w:tc>
        <w:tc>
          <w:tcPr>
            <w:tcW w:w="1261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7416,00</w:t>
            </w:r>
          </w:p>
        </w:tc>
      </w:tr>
      <w:tr w:rsidR="00171CE0" w:rsidRPr="008752B6" w:rsidTr="00171CE0">
        <w:trPr>
          <w:trHeight w:val="135"/>
        </w:trPr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D5070E">
              <w:rPr>
                <w:rFonts w:eastAsia="Arial Unicode MS"/>
                <w:sz w:val="22"/>
                <w:szCs w:val="22"/>
              </w:rPr>
              <w:t>Стійки</w:t>
            </w:r>
            <w:proofErr w:type="spellEnd"/>
            <w:r w:rsidRPr="00D5070E">
              <w:rPr>
                <w:rFonts w:eastAsia="Arial Unicode MS"/>
                <w:sz w:val="22"/>
                <w:szCs w:val="22"/>
              </w:rPr>
              <w:t xml:space="preserve"> для баскетболу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12500</w:t>
            </w: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25000</w:t>
            </w: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71CE0" w:rsidRPr="008752B6" w:rsidTr="00171CE0">
        <w:trPr>
          <w:trHeight w:val="135"/>
        </w:trPr>
        <w:tc>
          <w:tcPr>
            <w:tcW w:w="2186" w:type="dxa"/>
            <w:shd w:val="clear" w:color="auto" w:fill="auto"/>
          </w:tcPr>
          <w:p w:rsidR="00171CE0" w:rsidRPr="00D5070E" w:rsidRDefault="00171CE0" w:rsidP="00171CE0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Футбольні ворота з баскетбольним щитом</w:t>
            </w:r>
            <w:r w:rsidRPr="00D5070E">
              <w:rPr>
                <w:rFonts w:eastAsia="Arial Unicode MS"/>
                <w:sz w:val="22"/>
                <w:szCs w:val="22"/>
              </w:rPr>
              <w:t xml:space="preserve"> (Ціна з урахуванням матеріалу та виконання робіт)</w:t>
            </w:r>
          </w:p>
        </w:tc>
        <w:tc>
          <w:tcPr>
            <w:tcW w:w="1253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171CE0" w:rsidRPr="00D5070E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6" w:type="dxa"/>
            <w:shd w:val="clear" w:color="auto" w:fill="auto"/>
          </w:tcPr>
          <w:p w:rsidR="00171CE0" w:rsidRPr="005F41D7" w:rsidRDefault="00171CE0" w:rsidP="00171CE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11794,50</w:t>
            </w:r>
          </w:p>
        </w:tc>
        <w:tc>
          <w:tcPr>
            <w:tcW w:w="1261" w:type="dxa"/>
            <w:shd w:val="clear" w:color="auto" w:fill="auto"/>
          </w:tcPr>
          <w:p w:rsidR="00171CE0" w:rsidRDefault="00171CE0" w:rsidP="00171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23589,00</w:t>
            </w:r>
          </w:p>
        </w:tc>
      </w:tr>
      <w:tr w:rsidR="00351522" w:rsidRPr="008752B6" w:rsidTr="00954980">
        <w:trPr>
          <w:trHeight w:val="118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Турнік для дітей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8350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16700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6680,00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13360,00</w:t>
            </w:r>
          </w:p>
        </w:tc>
      </w:tr>
      <w:tr w:rsidR="00351522" w:rsidRPr="008752B6" w:rsidTr="00351522">
        <w:trPr>
          <w:trHeight w:val="118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для дітей інвалідів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8300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6640,00</w:t>
            </w:r>
          </w:p>
        </w:tc>
        <w:tc>
          <w:tcPr>
            <w:tcW w:w="1261" w:type="dxa"/>
            <w:shd w:val="clear" w:color="auto" w:fill="auto"/>
          </w:tcPr>
          <w:p w:rsidR="00351522" w:rsidRPr="00ED3B1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6640,00</w:t>
            </w:r>
          </w:p>
        </w:tc>
      </w:tr>
      <w:tr w:rsidR="00351522" w:rsidRPr="008752B6" w:rsidTr="00351522">
        <w:trPr>
          <w:trHeight w:val="135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Гойдалка для дітей інвалідів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19800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39600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15840,00</w:t>
            </w:r>
          </w:p>
        </w:tc>
        <w:tc>
          <w:tcPr>
            <w:tcW w:w="1261" w:type="dxa"/>
            <w:shd w:val="clear" w:color="auto" w:fill="auto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31680,00</w:t>
            </w:r>
          </w:p>
        </w:tc>
      </w:tr>
      <w:tr w:rsidR="00351522" w:rsidRPr="008752B6" w:rsidTr="00351522">
        <w:trPr>
          <w:trHeight w:val="135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№1 для дітей інвалідів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35600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28480,00</w:t>
            </w:r>
          </w:p>
        </w:tc>
        <w:tc>
          <w:tcPr>
            <w:tcW w:w="1261" w:type="dxa"/>
            <w:shd w:val="clear" w:color="auto" w:fill="auto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28480,00</w:t>
            </w:r>
          </w:p>
        </w:tc>
      </w:tr>
      <w:tr w:rsidR="00351522" w:rsidRPr="008752B6" w:rsidTr="00351522">
        <w:trPr>
          <w:trHeight w:val="90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Пісочниця дворівнева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18300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14640,00</w:t>
            </w:r>
          </w:p>
        </w:tc>
        <w:tc>
          <w:tcPr>
            <w:tcW w:w="1261" w:type="dxa"/>
            <w:shd w:val="clear" w:color="auto" w:fill="auto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14640,00</w:t>
            </w:r>
          </w:p>
        </w:tc>
      </w:tr>
      <w:tr w:rsidR="00351522" w:rsidRPr="008752B6" w:rsidTr="00351522">
        <w:trPr>
          <w:trHeight w:val="103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Щит баскетбольний для дітей інвалідів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7900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15800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6320,00</w:t>
            </w:r>
          </w:p>
        </w:tc>
        <w:tc>
          <w:tcPr>
            <w:tcW w:w="1261" w:type="dxa"/>
            <w:shd w:val="clear" w:color="auto" w:fill="auto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12640,00</w:t>
            </w:r>
          </w:p>
        </w:tc>
      </w:tr>
      <w:tr w:rsidR="00351522" w:rsidRPr="008752B6" w:rsidTr="00351522">
        <w:trPr>
          <w:trHeight w:val="135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Карусель №2 для дітей інвалідів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37300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1 шт.</w:t>
            </w:r>
          </w:p>
        </w:tc>
        <w:tc>
          <w:tcPr>
            <w:tcW w:w="1226" w:type="dxa"/>
            <w:shd w:val="clear" w:color="auto" w:fill="auto"/>
          </w:tcPr>
          <w:p w:rsidR="00351522" w:rsidRPr="005F41D7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29840,00</w:t>
            </w:r>
          </w:p>
        </w:tc>
        <w:tc>
          <w:tcPr>
            <w:tcW w:w="1261" w:type="dxa"/>
            <w:shd w:val="clear" w:color="auto" w:fill="auto"/>
          </w:tcPr>
          <w:p w:rsidR="00351522" w:rsidRDefault="00351522" w:rsidP="00351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29840,00</w:t>
            </w:r>
          </w:p>
        </w:tc>
      </w:tr>
      <w:tr w:rsidR="00351522" w:rsidRPr="008752B6" w:rsidTr="00171CE0">
        <w:trPr>
          <w:trHeight w:val="120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Роботи з монтажу тренажерів</w:t>
            </w:r>
          </w:p>
        </w:tc>
        <w:tc>
          <w:tcPr>
            <w:tcW w:w="1253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  <w:tc>
          <w:tcPr>
            <w:tcW w:w="133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24600</w:t>
            </w:r>
          </w:p>
        </w:tc>
        <w:tc>
          <w:tcPr>
            <w:tcW w:w="1139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D5070E" w:rsidRDefault="00351522" w:rsidP="00351522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18680,00</w:t>
            </w:r>
          </w:p>
        </w:tc>
      </w:tr>
      <w:tr w:rsidR="00351522" w:rsidRPr="008752B6" w:rsidTr="00171CE0">
        <w:trPr>
          <w:trHeight w:val="135"/>
        </w:trPr>
        <w:tc>
          <w:tcPr>
            <w:tcW w:w="2186" w:type="dxa"/>
            <w:shd w:val="clear" w:color="auto" w:fill="auto"/>
          </w:tcPr>
          <w:p w:rsidR="00351522" w:rsidRPr="00D5070E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D5070E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5000,00</w:t>
            </w:r>
          </w:p>
        </w:tc>
      </w:tr>
      <w:tr w:rsidR="00351522" w:rsidRPr="000B1FB8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5000,00</w:t>
            </w:r>
          </w:p>
        </w:tc>
      </w:tr>
      <w:tr w:rsidR="00351522" w:rsidRPr="000B1FB8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56648,18</w:t>
            </w:r>
          </w:p>
        </w:tc>
      </w:tr>
      <w:tr w:rsidR="00351522" w:rsidRPr="000B1FB8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4050,00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5400,00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23603,41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69866,10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13029,08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18882,73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додаткових витрат,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пов’язаних з інфляційними процесами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103949,42</w:t>
            </w:r>
          </w:p>
        </w:tc>
      </w:tr>
      <w:tr w:rsidR="00351522" w:rsidRPr="008813BC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ПДВ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249913,06</w:t>
            </w:r>
          </w:p>
        </w:tc>
      </w:tr>
      <w:tr w:rsidR="00351522" w:rsidRPr="000B1FB8" w:rsidTr="00171CE0">
        <w:trPr>
          <w:trHeight w:val="375"/>
        </w:trPr>
        <w:tc>
          <w:tcPr>
            <w:tcW w:w="218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3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351522" w:rsidRPr="000B1FB8" w:rsidRDefault="00351522" w:rsidP="00351522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1188800</w:t>
            </w:r>
          </w:p>
        </w:tc>
        <w:tc>
          <w:tcPr>
            <w:tcW w:w="1139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6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351522" w:rsidRPr="000B1FB8" w:rsidRDefault="00351522" w:rsidP="00351522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1499478,36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D5070E">
        <w:t>1188800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171CE0">
        <w:t>1499478,36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351522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171CE0">
        <w:t>1499478,36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</w:t>
      </w:r>
      <w:r w:rsidRPr="00D5070E">
        <w:t xml:space="preserve">втором не </w:t>
      </w:r>
      <w:proofErr w:type="spellStart"/>
      <w:r w:rsidRPr="00D5070E">
        <w:t>враховано</w:t>
      </w:r>
      <w:proofErr w:type="spellEnd"/>
      <w:r w:rsidRPr="00D5070E">
        <w:t xml:space="preserve"> </w:t>
      </w:r>
      <w:proofErr w:type="spellStart"/>
      <w:r w:rsidRPr="00D5070E">
        <w:t>витрати</w:t>
      </w:r>
      <w:proofErr w:type="spellEnd"/>
      <w:r w:rsidRPr="00D5070E">
        <w:t xml:space="preserve"> на</w:t>
      </w:r>
      <w:r w:rsidR="001C37D2" w:rsidRPr="00D5070E">
        <w:rPr>
          <w:lang w:val="uk-UA"/>
        </w:rPr>
        <w:t xml:space="preserve"> </w:t>
      </w:r>
      <w:r w:rsidR="00D5070E" w:rsidRPr="00D5070E">
        <w:rPr>
          <w:lang w:val="uk-UA"/>
        </w:rPr>
        <w:t xml:space="preserve">доставку обладнання, </w:t>
      </w:r>
      <w:r w:rsidR="00D5070E">
        <w:rPr>
          <w:lang w:val="uk-UA"/>
        </w:rPr>
        <w:t>о</w:t>
      </w:r>
      <w:r w:rsidR="00D5070E" w:rsidRPr="00D5070E">
        <w:rPr>
          <w:bCs/>
          <w:lang w:val="uk-UA"/>
        </w:rPr>
        <w:t xml:space="preserve">блаштування вуличного покриття (земляні роботи, влаштування піщано-гравійної основи, армування бетонної основи, гідроізоляція), </w:t>
      </w:r>
      <w:r w:rsidR="00447A6A">
        <w:rPr>
          <w:lang w:val="uk-UA"/>
        </w:rPr>
        <w:t xml:space="preserve">вишукувальні роботи, </w:t>
      </w:r>
      <w:r w:rsidR="00D5070E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D5070E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351522">
        <w:rPr>
          <w:lang w:val="uk-UA"/>
        </w:rPr>
        <w:t xml:space="preserve"> Крім того, автором проведено коригування окремого обладнання та зменшено його вартість.</w:t>
      </w:r>
      <w:bookmarkStart w:id="0" w:name="_GoBack"/>
      <w:bookmarkEnd w:id="0"/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171CE0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71CE0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71CE0"/>
    <w:rsid w:val="001A5C41"/>
    <w:rsid w:val="001C37D2"/>
    <w:rsid w:val="00351522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6A4FAF"/>
    <w:rsid w:val="00723908"/>
    <w:rsid w:val="007A3C0A"/>
    <w:rsid w:val="008035D6"/>
    <w:rsid w:val="008813BC"/>
    <w:rsid w:val="00892E0E"/>
    <w:rsid w:val="008D4421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5070E"/>
    <w:rsid w:val="00D62CE0"/>
    <w:rsid w:val="00DF11C3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103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2019-03-26T13:03:00Z</dcterms:created>
  <dcterms:modified xsi:type="dcterms:W3CDTF">2019-03-26T13:29:00Z</dcterms:modified>
</cp:coreProperties>
</file>