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054814">
        <w:rPr>
          <w:b/>
          <w:bCs/>
          <w:sz w:val="28"/>
          <w:szCs w:val="28"/>
          <w:lang w:val="uk-UA"/>
        </w:rPr>
        <w:t xml:space="preserve">Спортивний та дитячий майданчики, на пр-т </w:t>
      </w:r>
      <w:proofErr w:type="spellStart"/>
      <w:r w:rsidR="00054814">
        <w:rPr>
          <w:b/>
          <w:bCs/>
          <w:sz w:val="28"/>
          <w:szCs w:val="28"/>
          <w:lang w:val="uk-UA"/>
        </w:rPr>
        <w:t>М.Лушпи</w:t>
      </w:r>
      <w:proofErr w:type="spellEnd"/>
      <w:r w:rsidR="00054814">
        <w:rPr>
          <w:b/>
          <w:bCs/>
          <w:sz w:val="28"/>
          <w:szCs w:val="28"/>
          <w:lang w:val="uk-UA"/>
        </w:rPr>
        <w:t>, 22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054814">
        <w:rPr>
          <w:lang w:val="uk-UA"/>
        </w:rPr>
        <w:t>49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0A6A77" w:rsidRPr="00054814" w:rsidTr="000A6A77"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proofErr w:type="spellStart"/>
            <w:r w:rsidRPr="00054814">
              <w:rPr>
                <w:sz w:val="22"/>
                <w:szCs w:val="22"/>
              </w:rPr>
              <w:t>Стол</w:t>
            </w:r>
            <w:proofErr w:type="spellEnd"/>
            <w:r w:rsidRPr="00054814">
              <w:rPr>
                <w:sz w:val="22"/>
                <w:szCs w:val="22"/>
              </w:rPr>
              <w:t xml:space="preserve"> для </w:t>
            </w:r>
            <w:proofErr w:type="spellStart"/>
            <w:r w:rsidRPr="00054814">
              <w:rPr>
                <w:sz w:val="22"/>
                <w:szCs w:val="22"/>
              </w:rPr>
              <w:t>игры</w:t>
            </w:r>
            <w:proofErr w:type="spellEnd"/>
            <w:r w:rsidRPr="00054814">
              <w:rPr>
                <w:sz w:val="22"/>
                <w:szCs w:val="22"/>
              </w:rPr>
              <w:t xml:space="preserve"> в </w:t>
            </w:r>
            <w:proofErr w:type="spellStart"/>
            <w:r w:rsidRPr="00054814">
              <w:rPr>
                <w:sz w:val="22"/>
                <w:szCs w:val="22"/>
              </w:rPr>
              <w:t>шахматы</w:t>
            </w:r>
            <w:proofErr w:type="spellEnd"/>
            <w:r w:rsidRPr="00054814">
              <w:rPr>
                <w:sz w:val="22"/>
                <w:szCs w:val="22"/>
              </w:rPr>
              <w:t xml:space="preserve"> и </w:t>
            </w:r>
            <w:proofErr w:type="spellStart"/>
            <w:r w:rsidRPr="00054814">
              <w:rPr>
                <w:sz w:val="22"/>
                <w:szCs w:val="22"/>
              </w:rPr>
              <w:t>карты</w:t>
            </w:r>
            <w:proofErr w:type="spellEnd"/>
            <w:r w:rsidRPr="00054814">
              <w:rPr>
                <w:sz w:val="22"/>
                <w:szCs w:val="22"/>
              </w:rPr>
              <w:t xml:space="preserve"> (SL 120);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6700,00</w:t>
            </w: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6700,00</w:t>
            </w:r>
          </w:p>
        </w:tc>
        <w:tc>
          <w:tcPr>
            <w:tcW w:w="1139" w:type="dxa"/>
            <w:shd w:val="clear" w:color="auto" w:fill="auto"/>
          </w:tcPr>
          <w:p w:rsidR="000A6A77" w:rsidRPr="00946489" w:rsidRDefault="000A6A77" w:rsidP="000A6A7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A6A77" w:rsidRPr="00946489" w:rsidRDefault="000A6A77" w:rsidP="000A6A7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7167,00</w:t>
            </w:r>
          </w:p>
        </w:tc>
        <w:tc>
          <w:tcPr>
            <w:tcW w:w="1228" w:type="dxa"/>
            <w:shd w:val="clear" w:color="auto" w:fill="auto"/>
          </w:tcPr>
          <w:p w:rsidR="000A6A77" w:rsidRPr="00E46D61" w:rsidRDefault="000A6A77" w:rsidP="000A6A7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7167,00</w:t>
            </w:r>
          </w:p>
        </w:tc>
      </w:tr>
      <w:tr w:rsidR="000A6A77" w:rsidRPr="00054814" w:rsidTr="000A6A77"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proofErr w:type="spellStart"/>
            <w:r w:rsidRPr="00054814">
              <w:rPr>
                <w:sz w:val="22"/>
                <w:szCs w:val="22"/>
              </w:rPr>
              <w:t>Мультифітнес</w:t>
            </w:r>
            <w:proofErr w:type="spellEnd"/>
            <w:r w:rsidRPr="00054814">
              <w:rPr>
                <w:sz w:val="22"/>
                <w:szCs w:val="22"/>
              </w:rPr>
              <w:t xml:space="preserve"> станція </w:t>
            </w:r>
            <w:proofErr w:type="spellStart"/>
            <w:r w:rsidRPr="00054814">
              <w:rPr>
                <w:sz w:val="22"/>
                <w:szCs w:val="22"/>
                <w:lang w:val="en-US"/>
              </w:rPr>
              <w:t>Multifitness</w:t>
            </w:r>
            <w:proofErr w:type="spellEnd"/>
            <w:r w:rsidRPr="00054814">
              <w:rPr>
                <w:sz w:val="22"/>
                <w:szCs w:val="22"/>
              </w:rPr>
              <w:t xml:space="preserve"> </w:t>
            </w:r>
            <w:r w:rsidRPr="00054814">
              <w:rPr>
                <w:sz w:val="22"/>
                <w:szCs w:val="22"/>
                <w:lang w:val="en-US"/>
              </w:rPr>
              <w:t>Gym</w:t>
            </w:r>
            <w:r w:rsidRPr="00054814">
              <w:rPr>
                <w:sz w:val="22"/>
                <w:szCs w:val="22"/>
              </w:rPr>
              <w:t xml:space="preserve"> </w:t>
            </w:r>
            <w:r w:rsidRPr="00054814">
              <w:rPr>
                <w:sz w:val="22"/>
                <w:szCs w:val="22"/>
                <w:lang w:val="en-US"/>
              </w:rPr>
              <w:t>MF</w:t>
            </w:r>
            <w:r w:rsidRPr="00054814">
              <w:rPr>
                <w:sz w:val="22"/>
                <w:szCs w:val="22"/>
              </w:rPr>
              <w:t xml:space="preserve"> 5.4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A6A77" w:rsidRPr="00054814" w:rsidRDefault="004E7D77" w:rsidP="000A6A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50700,</w:t>
            </w:r>
            <w:r w:rsidR="000A6A77" w:rsidRPr="0005481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4E7D77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50700</w:t>
            </w:r>
            <w:r w:rsidR="004E7D77">
              <w:rPr>
                <w:sz w:val="22"/>
                <w:szCs w:val="22"/>
              </w:rPr>
              <w:t>,</w:t>
            </w:r>
            <w:r w:rsidRPr="0005481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9" w:type="dxa"/>
            <w:shd w:val="clear" w:color="auto" w:fill="auto"/>
          </w:tcPr>
          <w:p w:rsidR="000A6A77" w:rsidRPr="00946489" w:rsidRDefault="000A6A77" w:rsidP="000A6A7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A6A77" w:rsidRPr="00946489" w:rsidRDefault="000A6A77" w:rsidP="000A6A7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52917,00</w:t>
            </w:r>
          </w:p>
        </w:tc>
        <w:tc>
          <w:tcPr>
            <w:tcW w:w="1228" w:type="dxa"/>
            <w:shd w:val="clear" w:color="auto" w:fill="auto"/>
          </w:tcPr>
          <w:p w:rsidR="000A6A77" w:rsidRPr="00946489" w:rsidRDefault="000A6A77" w:rsidP="000A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52917,00</w:t>
            </w:r>
          </w:p>
        </w:tc>
      </w:tr>
      <w:tr w:rsidR="000A6A77" w:rsidRPr="00054814" w:rsidTr="000A6A77"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</w:rPr>
              <w:t xml:space="preserve">Спортивний комплекс </w:t>
            </w:r>
            <w:proofErr w:type="spellStart"/>
            <w:r w:rsidRPr="00054814">
              <w:rPr>
                <w:sz w:val="22"/>
                <w:szCs w:val="22"/>
              </w:rPr>
              <w:t>Воркаут</w:t>
            </w:r>
            <w:proofErr w:type="spellEnd"/>
            <w:r w:rsidRPr="00054814">
              <w:rPr>
                <w:sz w:val="22"/>
                <w:szCs w:val="22"/>
              </w:rPr>
              <w:t xml:space="preserve"> </w:t>
            </w:r>
            <w:r w:rsidRPr="00054814">
              <w:rPr>
                <w:sz w:val="22"/>
                <w:szCs w:val="22"/>
                <w:lang w:val="en-US"/>
              </w:rPr>
              <w:t>S831.12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A6A77" w:rsidRPr="00054814" w:rsidRDefault="000A6A77" w:rsidP="004E7D77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60900</w:t>
            </w:r>
            <w:r w:rsidR="004E7D77">
              <w:rPr>
                <w:sz w:val="22"/>
                <w:szCs w:val="22"/>
              </w:rPr>
              <w:t>,</w:t>
            </w:r>
            <w:r w:rsidRPr="0005481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349" w:type="dxa"/>
            <w:shd w:val="clear" w:color="auto" w:fill="auto"/>
          </w:tcPr>
          <w:p w:rsidR="000A6A77" w:rsidRPr="00054814" w:rsidRDefault="004E7D77" w:rsidP="000A6A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60900,</w:t>
            </w:r>
            <w:r w:rsidR="000A6A77" w:rsidRPr="0005481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9" w:type="dxa"/>
            <w:shd w:val="clear" w:color="auto" w:fill="auto"/>
          </w:tcPr>
          <w:p w:rsidR="000A6A77" w:rsidRPr="00946489" w:rsidRDefault="000A6A77" w:rsidP="000A6A7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A6A77" w:rsidRPr="00946489" w:rsidRDefault="000A6A77" w:rsidP="000A6A7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62250,00</w:t>
            </w:r>
          </w:p>
        </w:tc>
        <w:tc>
          <w:tcPr>
            <w:tcW w:w="1228" w:type="dxa"/>
            <w:shd w:val="clear" w:color="auto" w:fill="auto"/>
          </w:tcPr>
          <w:p w:rsidR="000A6A77" w:rsidRPr="00946489" w:rsidRDefault="000A6A77" w:rsidP="000A6A77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62250,00</w:t>
            </w:r>
          </w:p>
        </w:tc>
      </w:tr>
      <w:tr w:rsidR="000A6A77" w:rsidRPr="00054814" w:rsidTr="000A6A77">
        <w:trPr>
          <w:trHeight w:val="241"/>
        </w:trPr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proofErr w:type="spellStart"/>
            <w:r w:rsidRPr="00054814">
              <w:rPr>
                <w:sz w:val="22"/>
                <w:szCs w:val="22"/>
              </w:rPr>
              <w:t>Стол</w:t>
            </w:r>
            <w:proofErr w:type="spellEnd"/>
            <w:r w:rsidRPr="00054814">
              <w:rPr>
                <w:sz w:val="22"/>
                <w:szCs w:val="22"/>
              </w:rPr>
              <w:t xml:space="preserve"> для гри в настільний теніс </w:t>
            </w:r>
            <w:r w:rsidRPr="00054814">
              <w:rPr>
                <w:sz w:val="22"/>
                <w:szCs w:val="22"/>
                <w:lang w:val="en-US"/>
              </w:rPr>
              <w:t>SG</w:t>
            </w:r>
            <w:r w:rsidRPr="00054814">
              <w:rPr>
                <w:sz w:val="22"/>
                <w:szCs w:val="22"/>
              </w:rPr>
              <w:t>-416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0A6A77" w:rsidRPr="00054814" w:rsidRDefault="004E7D77" w:rsidP="000A6A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6900,</w:t>
            </w:r>
            <w:r w:rsidR="000A6A77" w:rsidRPr="0005481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4E7D77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13800</w:t>
            </w:r>
            <w:r w:rsidR="004E7D77">
              <w:rPr>
                <w:sz w:val="22"/>
                <w:szCs w:val="22"/>
              </w:rPr>
              <w:t>,</w:t>
            </w:r>
            <w:r w:rsidRPr="0005481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9" w:type="dxa"/>
            <w:shd w:val="clear" w:color="auto" w:fill="auto"/>
          </w:tcPr>
          <w:p w:rsidR="000A6A77" w:rsidRPr="00946489" w:rsidRDefault="000A6A77" w:rsidP="000A6A7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0A6A77" w:rsidRPr="00946489" w:rsidRDefault="000A6A77" w:rsidP="000A6A7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5750,00</w:t>
            </w:r>
          </w:p>
        </w:tc>
        <w:tc>
          <w:tcPr>
            <w:tcW w:w="1228" w:type="dxa"/>
            <w:shd w:val="clear" w:color="auto" w:fill="auto"/>
          </w:tcPr>
          <w:p w:rsidR="000A6A77" w:rsidRPr="00946489" w:rsidRDefault="000A6A77" w:rsidP="000A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11500,00</w:t>
            </w:r>
          </w:p>
        </w:tc>
      </w:tr>
      <w:tr w:rsidR="000A6A77" w:rsidRPr="00054814" w:rsidTr="000A6A77">
        <w:trPr>
          <w:trHeight w:val="135"/>
        </w:trPr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proofErr w:type="spellStart"/>
            <w:r w:rsidRPr="00054814">
              <w:rPr>
                <w:sz w:val="22"/>
                <w:szCs w:val="22"/>
                <w:lang w:val="en-US"/>
              </w:rPr>
              <w:t>Карусель</w:t>
            </w:r>
            <w:proofErr w:type="spellEnd"/>
            <w:r w:rsidRPr="00054814">
              <w:rPr>
                <w:sz w:val="22"/>
                <w:szCs w:val="22"/>
                <w:lang w:val="en-US"/>
              </w:rPr>
              <w:t xml:space="preserve"> </w:t>
            </w:r>
            <w:r w:rsidRPr="00054814">
              <w:rPr>
                <w:sz w:val="22"/>
                <w:szCs w:val="22"/>
              </w:rPr>
              <w:t>для дітей ТЕ211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12000,00</w:t>
            </w: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12000,00</w:t>
            </w:r>
          </w:p>
        </w:tc>
        <w:tc>
          <w:tcPr>
            <w:tcW w:w="1139" w:type="dxa"/>
            <w:shd w:val="clear" w:color="auto" w:fill="auto"/>
          </w:tcPr>
          <w:p w:rsidR="000A6A77" w:rsidRPr="005F41D7" w:rsidRDefault="000A6A77" w:rsidP="000A6A7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A6A77" w:rsidRPr="005F41D7" w:rsidRDefault="000A6A77" w:rsidP="000A6A7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11667,00</w:t>
            </w:r>
          </w:p>
        </w:tc>
        <w:tc>
          <w:tcPr>
            <w:tcW w:w="1228" w:type="dxa"/>
            <w:shd w:val="clear" w:color="auto" w:fill="auto"/>
          </w:tcPr>
          <w:p w:rsidR="000A6A77" w:rsidRPr="005F41D7" w:rsidRDefault="000A6A77" w:rsidP="000A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11667,00</w:t>
            </w:r>
          </w:p>
        </w:tc>
      </w:tr>
      <w:tr w:rsidR="000A6A77" w:rsidRPr="00054814" w:rsidTr="000A6A77">
        <w:trPr>
          <w:trHeight w:val="118"/>
        </w:trPr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Дитяча гойдалка для вулиці Т404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11000,00</w:t>
            </w: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11000,00</w:t>
            </w:r>
          </w:p>
        </w:tc>
        <w:tc>
          <w:tcPr>
            <w:tcW w:w="1139" w:type="dxa"/>
            <w:shd w:val="clear" w:color="auto" w:fill="auto"/>
          </w:tcPr>
          <w:p w:rsidR="000A6A77" w:rsidRPr="00E46D61" w:rsidRDefault="000A6A77" w:rsidP="000A6A77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A6A77" w:rsidRPr="00E46D61" w:rsidRDefault="000A6A77" w:rsidP="000A6A77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10833,00</w:t>
            </w:r>
          </w:p>
        </w:tc>
        <w:tc>
          <w:tcPr>
            <w:tcW w:w="1228" w:type="dxa"/>
            <w:shd w:val="clear" w:color="auto" w:fill="auto"/>
          </w:tcPr>
          <w:p w:rsidR="000A6A77" w:rsidRPr="00E46D61" w:rsidRDefault="000A6A77" w:rsidP="000A6A7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10833,00</w:t>
            </w:r>
          </w:p>
        </w:tc>
      </w:tr>
      <w:tr w:rsidR="000A6A77" w:rsidRPr="00054814" w:rsidTr="000A6A77">
        <w:trPr>
          <w:trHeight w:val="118"/>
        </w:trPr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 xml:space="preserve">Качалка на пружині АВТО </w:t>
            </w:r>
            <w:r w:rsidRPr="00054814">
              <w:rPr>
                <w:sz w:val="22"/>
                <w:szCs w:val="22"/>
                <w:lang w:val="en-US"/>
              </w:rPr>
              <w:t>DIO</w:t>
            </w:r>
            <w:r w:rsidRPr="00054814">
              <w:rPr>
                <w:sz w:val="22"/>
                <w:szCs w:val="22"/>
              </w:rPr>
              <w:t>-112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A6A77" w:rsidRPr="00054814" w:rsidRDefault="004E7D77" w:rsidP="000A6A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7200,</w:t>
            </w:r>
            <w:r w:rsidR="000A6A77" w:rsidRPr="0005481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4E7D77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7200</w:t>
            </w:r>
            <w:r w:rsidR="004E7D77">
              <w:rPr>
                <w:sz w:val="22"/>
                <w:szCs w:val="22"/>
              </w:rPr>
              <w:t>,</w:t>
            </w:r>
            <w:r w:rsidRPr="0005481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9" w:type="dxa"/>
            <w:shd w:val="clear" w:color="auto" w:fill="auto"/>
          </w:tcPr>
          <w:p w:rsidR="000A6A77" w:rsidRPr="005F41D7" w:rsidRDefault="000A6A77" w:rsidP="000A6A7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A6A77" w:rsidRPr="005F41D7" w:rsidRDefault="000A6A77" w:rsidP="000A6A7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5963,00</w:t>
            </w:r>
          </w:p>
        </w:tc>
        <w:tc>
          <w:tcPr>
            <w:tcW w:w="1228" w:type="dxa"/>
            <w:shd w:val="clear" w:color="auto" w:fill="auto"/>
          </w:tcPr>
          <w:p w:rsidR="000A6A77" w:rsidRPr="00E46D61" w:rsidRDefault="000A6A77" w:rsidP="000A6A7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5963,00</w:t>
            </w:r>
          </w:p>
        </w:tc>
      </w:tr>
      <w:tr w:rsidR="000A6A77" w:rsidRPr="00054814" w:rsidTr="000A6A77">
        <w:trPr>
          <w:trHeight w:val="135"/>
        </w:trPr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 xml:space="preserve">Качалка на пружині </w:t>
            </w:r>
            <w:proofErr w:type="spellStart"/>
            <w:r w:rsidRPr="00054814">
              <w:rPr>
                <w:sz w:val="22"/>
                <w:szCs w:val="22"/>
              </w:rPr>
              <w:t>Капітошка</w:t>
            </w:r>
            <w:proofErr w:type="spellEnd"/>
            <w:r w:rsidRPr="00054814">
              <w:rPr>
                <w:sz w:val="22"/>
                <w:szCs w:val="22"/>
              </w:rPr>
              <w:t xml:space="preserve"> ТЕ 210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3500,00</w:t>
            </w: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3500,00</w:t>
            </w:r>
          </w:p>
        </w:tc>
        <w:tc>
          <w:tcPr>
            <w:tcW w:w="1139" w:type="dxa"/>
            <w:shd w:val="clear" w:color="auto" w:fill="auto"/>
          </w:tcPr>
          <w:p w:rsidR="000A6A77" w:rsidRDefault="000A6A77" w:rsidP="000A6A77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A6A77" w:rsidRDefault="000A6A77" w:rsidP="000A6A77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3417,00</w:t>
            </w:r>
          </w:p>
        </w:tc>
        <w:tc>
          <w:tcPr>
            <w:tcW w:w="1228" w:type="dxa"/>
            <w:shd w:val="clear" w:color="auto" w:fill="auto"/>
          </w:tcPr>
          <w:p w:rsidR="000A6A77" w:rsidRDefault="000A6A77" w:rsidP="000A6A7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3417,00</w:t>
            </w:r>
          </w:p>
        </w:tc>
      </w:tr>
      <w:tr w:rsidR="000A6A77" w:rsidRPr="00054814" w:rsidTr="000A6A77">
        <w:trPr>
          <w:trHeight w:val="135"/>
        </w:trPr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</w:rPr>
              <w:t xml:space="preserve">Лаз </w:t>
            </w:r>
            <w:proofErr w:type="spellStart"/>
            <w:r w:rsidRPr="00054814">
              <w:rPr>
                <w:sz w:val="22"/>
                <w:szCs w:val="22"/>
              </w:rPr>
              <w:t>Михаил</w:t>
            </w:r>
            <w:proofErr w:type="spellEnd"/>
            <w:r w:rsidRPr="00054814">
              <w:rPr>
                <w:sz w:val="22"/>
                <w:szCs w:val="22"/>
              </w:rPr>
              <w:t xml:space="preserve"> </w:t>
            </w:r>
            <w:proofErr w:type="spellStart"/>
            <w:r w:rsidRPr="00054814">
              <w:rPr>
                <w:sz w:val="22"/>
                <w:szCs w:val="22"/>
              </w:rPr>
              <w:t>Потапич</w:t>
            </w:r>
            <w:proofErr w:type="spellEnd"/>
            <w:r w:rsidRPr="00054814">
              <w:rPr>
                <w:sz w:val="22"/>
                <w:szCs w:val="22"/>
              </w:rPr>
              <w:t xml:space="preserve"> </w:t>
            </w:r>
            <w:r w:rsidRPr="00054814">
              <w:rPr>
                <w:sz w:val="22"/>
                <w:szCs w:val="22"/>
                <w:lang w:val="en-US"/>
              </w:rPr>
              <w:t>DIO 624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11000.00</w:t>
            </w: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11000.00</w:t>
            </w:r>
          </w:p>
        </w:tc>
        <w:tc>
          <w:tcPr>
            <w:tcW w:w="1139" w:type="dxa"/>
            <w:shd w:val="clear" w:color="auto" w:fill="auto"/>
          </w:tcPr>
          <w:p w:rsidR="000A6A77" w:rsidRDefault="000A6A77" w:rsidP="000A6A77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A6A77" w:rsidRDefault="000A6A77" w:rsidP="000A6A77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9167,00</w:t>
            </w:r>
          </w:p>
        </w:tc>
        <w:tc>
          <w:tcPr>
            <w:tcW w:w="1228" w:type="dxa"/>
            <w:shd w:val="clear" w:color="auto" w:fill="auto"/>
          </w:tcPr>
          <w:p w:rsidR="000A6A77" w:rsidRDefault="000A6A77" w:rsidP="000A6A7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9167,00</w:t>
            </w:r>
          </w:p>
        </w:tc>
      </w:tr>
      <w:tr w:rsidR="000A6A77" w:rsidRPr="00054814" w:rsidTr="000A6A77">
        <w:trPr>
          <w:trHeight w:val="90"/>
        </w:trPr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</w:rPr>
              <w:t xml:space="preserve">Лаз </w:t>
            </w:r>
            <w:proofErr w:type="spellStart"/>
            <w:r w:rsidRPr="00054814">
              <w:rPr>
                <w:sz w:val="22"/>
                <w:szCs w:val="22"/>
              </w:rPr>
              <w:t>Cфера</w:t>
            </w:r>
            <w:proofErr w:type="spellEnd"/>
            <w:r w:rsidRPr="00054814">
              <w:rPr>
                <w:sz w:val="22"/>
                <w:szCs w:val="22"/>
              </w:rPr>
              <w:t xml:space="preserve"> </w:t>
            </w:r>
            <w:r w:rsidRPr="00054814">
              <w:rPr>
                <w:sz w:val="22"/>
                <w:szCs w:val="22"/>
                <w:lang w:val="en-US"/>
              </w:rPr>
              <w:t>DIO 617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15600,00</w:t>
            </w: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15600,00</w:t>
            </w:r>
          </w:p>
        </w:tc>
        <w:tc>
          <w:tcPr>
            <w:tcW w:w="1139" w:type="dxa"/>
            <w:shd w:val="clear" w:color="auto" w:fill="auto"/>
          </w:tcPr>
          <w:p w:rsidR="000A6A77" w:rsidRDefault="000A6A77" w:rsidP="000A6A77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A6A77" w:rsidRDefault="000A6A77" w:rsidP="000A6A77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12992,00</w:t>
            </w:r>
          </w:p>
        </w:tc>
        <w:tc>
          <w:tcPr>
            <w:tcW w:w="1228" w:type="dxa"/>
            <w:shd w:val="clear" w:color="auto" w:fill="auto"/>
          </w:tcPr>
          <w:p w:rsidR="000A6A77" w:rsidRDefault="000A6A77" w:rsidP="000A6A7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12992,00</w:t>
            </w:r>
          </w:p>
        </w:tc>
      </w:tr>
      <w:tr w:rsidR="000A6A77" w:rsidRPr="00054814" w:rsidTr="000A6A77">
        <w:trPr>
          <w:trHeight w:val="103"/>
        </w:trPr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 xml:space="preserve">Дитячий комплекс Авто-гімнаст </w:t>
            </w:r>
            <w:r w:rsidRPr="00054814">
              <w:rPr>
                <w:sz w:val="22"/>
                <w:szCs w:val="22"/>
                <w:lang w:val="en-US"/>
              </w:rPr>
              <w:t>DIO</w:t>
            </w:r>
            <w:r w:rsidRPr="00054814">
              <w:rPr>
                <w:sz w:val="22"/>
                <w:szCs w:val="22"/>
              </w:rPr>
              <w:t xml:space="preserve"> 402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33900,00</w:t>
            </w: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33900,00</w:t>
            </w:r>
          </w:p>
        </w:tc>
        <w:tc>
          <w:tcPr>
            <w:tcW w:w="1139" w:type="dxa"/>
            <w:shd w:val="clear" w:color="auto" w:fill="auto"/>
          </w:tcPr>
          <w:p w:rsidR="000A6A77" w:rsidRDefault="000A6A77" w:rsidP="000A6A77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A6A77" w:rsidRDefault="000A6A77" w:rsidP="000A6A77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30968,00</w:t>
            </w:r>
          </w:p>
        </w:tc>
        <w:tc>
          <w:tcPr>
            <w:tcW w:w="1228" w:type="dxa"/>
            <w:shd w:val="clear" w:color="auto" w:fill="auto"/>
          </w:tcPr>
          <w:p w:rsidR="000A6A77" w:rsidRDefault="000A6A77" w:rsidP="000A6A7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30968,00</w:t>
            </w:r>
          </w:p>
        </w:tc>
      </w:tr>
      <w:tr w:rsidR="000A6A77" w:rsidRPr="00054814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Монтаж обладнання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15000,00</w:t>
            </w:r>
          </w:p>
        </w:tc>
        <w:tc>
          <w:tcPr>
            <w:tcW w:w="1139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</w:p>
        </w:tc>
      </w:tr>
      <w:tr w:rsidR="000A6A77" w:rsidRPr="00054814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lastRenderedPageBreak/>
              <w:t>Бордюри, покриття, підготовка основи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155000,00</w:t>
            </w:r>
          </w:p>
        </w:tc>
        <w:tc>
          <w:tcPr>
            <w:tcW w:w="113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</w:p>
        </w:tc>
      </w:tr>
      <w:tr w:rsidR="000A6A77" w:rsidRPr="00054814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Покриття гумове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190 м 2</w:t>
            </w:r>
          </w:p>
        </w:tc>
        <w:tc>
          <w:tcPr>
            <w:tcW w:w="1234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1200,00</w:t>
            </w: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228000,00</w:t>
            </w:r>
          </w:p>
        </w:tc>
        <w:tc>
          <w:tcPr>
            <w:tcW w:w="113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</w:p>
        </w:tc>
      </w:tr>
      <w:tr w:rsidR="000A6A77" w:rsidRPr="00054814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Бортовий камінь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A6A77" w:rsidRPr="00054814" w:rsidRDefault="000A6A77" w:rsidP="000A6A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12000,00</w:t>
            </w:r>
          </w:p>
        </w:tc>
        <w:tc>
          <w:tcPr>
            <w:tcW w:w="1139" w:type="dxa"/>
            <w:shd w:val="clear" w:color="auto" w:fill="auto"/>
          </w:tcPr>
          <w:p w:rsidR="000A6A77" w:rsidRPr="00054814" w:rsidRDefault="000A6A77" w:rsidP="000A6A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54814" w:rsidRDefault="000A6A77" w:rsidP="000A6A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</w:p>
        </w:tc>
      </w:tr>
      <w:tr w:rsidR="000A6A77" w:rsidRPr="00054814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Доставка обладнання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A6A77" w:rsidRPr="00054814" w:rsidRDefault="000A6A77" w:rsidP="000A6A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6000,00</w:t>
            </w:r>
          </w:p>
        </w:tc>
        <w:tc>
          <w:tcPr>
            <w:tcW w:w="1139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</w:tr>
      <w:tr w:rsidR="000A6A77" w:rsidRPr="00054814" w:rsidTr="00925110">
        <w:trPr>
          <w:trHeight w:val="88"/>
        </w:trPr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Земляні роботи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0A6A77" w:rsidRPr="00054814" w:rsidRDefault="000A6A77" w:rsidP="000A6A7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0A6A77" w:rsidRPr="00054814" w:rsidRDefault="000A6A77" w:rsidP="000A6A77">
            <w:pPr>
              <w:jc w:val="center"/>
              <w:rPr>
                <w:color w:val="000000"/>
                <w:sz w:val="22"/>
                <w:szCs w:val="22"/>
              </w:rPr>
            </w:pPr>
            <w:r w:rsidRPr="00054814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9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10000,00</w:t>
            </w:r>
          </w:p>
        </w:tc>
      </w:tr>
      <w:tr w:rsidR="000A6A77" w:rsidRPr="00054814" w:rsidTr="00925110">
        <w:trPr>
          <w:trHeight w:val="88"/>
        </w:trPr>
        <w:tc>
          <w:tcPr>
            <w:tcW w:w="2186" w:type="dxa"/>
            <w:shd w:val="clear" w:color="auto" w:fill="auto"/>
          </w:tcPr>
          <w:p w:rsidR="000A6A77" w:rsidRPr="00054814" w:rsidRDefault="000A6A77" w:rsidP="000A6A77">
            <w:pPr>
              <w:rPr>
                <w:sz w:val="22"/>
                <w:szCs w:val="22"/>
              </w:rPr>
            </w:pPr>
            <w:r w:rsidRPr="000B1FB8">
              <w:rPr>
                <w:bCs/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0A6A77" w:rsidRPr="00054814" w:rsidRDefault="000A6A77" w:rsidP="000A6A7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0A6A77" w:rsidRPr="00054814" w:rsidRDefault="000A6A77" w:rsidP="000A6A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54710,00</w:t>
            </w:r>
          </w:p>
        </w:tc>
      </w:tr>
      <w:tr w:rsidR="000A6A77" w:rsidRPr="00054814" w:rsidTr="00925110">
        <w:trPr>
          <w:trHeight w:val="75"/>
        </w:trPr>
        <w:tc>
          <w:tcPr>
            <w:tcW w:w="2186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color w:val="000000"/>
                <w:sz w:val="22"/>
                <w:szCs w:val="22"/>
              </w:rPr>
            </w:pPr>
            <w:r w:rsidRPr="00054814">
              <w:rPr>
                <w:color w:val="000000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0A6A77" w:rsidRPr="00054814" w:rsidRDefault="000A6A77" w:rsidP="000A6A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A6A77" w:rsidRPr="00054814" w:rsidRDefault="000A6A77" w:rsidP="000A6A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20000,00</w:t>
            </w:r>
          </w:p>
        </w:tc>
        <w:tc>
          <w:tcPr>
            <w:tcW w:w="1139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19850,00</w:t>
            </w:r>
          </w:p>
        </w:tc>
      </w:tr>
      <w:tr w:rsidR="000A6A77" w:rsidRPr="00054814" w:rsidTr="000A6A77">
        <w:trPr>
          <w:trHeight w:val="103"/>
        </w:trPr>
        <w:tc>
          <w:tcPr>
            <w:tcW w:w="2186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9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5000,00</w:t>
            </w:r>
          </w:p>
        </w:tc>
      </w:tr>
      <w:tr w:rsidR="000A6A77" w:rsidRPr="00054814" w:rsidTr="00925110">
        <w:trPr>
          <w:trHeight w:val="135"/>
        </w:trPr>
        <w:tc>
          <w:tcPr>
            <w:tcW w:w="2186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Експертиза проекту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0A6A77" w:rsidRPr="00054814" w:rsidRDefault="000A6A77" w:rsidP="000A6A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39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2700,00</w:t>
            </w:r>
          </w:p>
        </w:tc>
      </w:tr>
      <w:tr w:rsidR="000A6A77" w:rsidRPr="00054814" w:rsidTr="00925110">
        <w:trPr>
          <w:trHeight w:val="345"/>
        </w:trPr>
        <w:tc>
          <w:tcPr>
            <w:tcW w:w="2186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0A6A77" w:rsidRPr="00054814" w:rsidRDefault="000A6A77" w:rsidP="000A6A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39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4050,00</w:t>
            </w:r>
          </w:p>
        </w:tc>
      </w:tr>
      <w:tr w:rsidR="000A6A77" w:rsidRPr="00054814" w:rsidTr="00925110">
        <w:trPr>
          <w:trHeight w:val="118"/>
        </w:trPr>
        <w:tc>
          <w:tcPr>
            <w:tcW w:w="2186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0A6A77" w:rsidRPr="00054814" w:rsidRDefault="000A6A77" w:rsidP="000A6A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139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7100,00</w:t>
            </w:r>
          </w:p>
        </w:tc>
      </w:tr>
      <w:tr w:rsidR="000A6A77" w:rsidRPr="00054814" w:rsidTr="004E7D77">
        <w:trPr>
          <w:trHeight w:val="118"/>
        </w:trPr>
        <w:tc>
          <w:tcPr>
            <w:tcW w:w="2186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Адміністративні витрати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139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3915,00</w:t>
            </w:r>
          </w:p>
        </w:tc>
      </w:tr>
      <w:tr w:rsidR="000A6A77" w:rsidRPr="00054814" w:rsidTr="000A6A77">
        <w:trPr>
          <w:trHeight w:val="118"/>
        </w:trPr>
        <w:tc>
          <w:tcPr>
            <w:tcW w:w="2186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0A6A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10600,00</w:t>
            </w:r>
          </w:p>
        </w:tc>
        <w:tc>
          <w:tcPr>
            <w:tcW w:w="1139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21000,00</w:t>
            </w:r>
          </w:p>
        </w:tc>
      </w:tr>
      <w:tr w:rsidR="000A6A77" w:rsidRPr="00054814" w:rsidTr="00925110">
        <w:trPr>
          <w:trHeight w:val="120"/>
        </w:trPr>
        <w:tc>
          <w:tcPr>
            <w:tcW w:w="2186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Інфляція, непередбачені витрати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0A6A77" w:rsidRPr="00054814" w:rsidRDefault="000A6A77" w:rsidP="000A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A6A77" w:rsidRPr="00054814" w:rsidRDefault="000A6A77" w:rsidP="000A6A77">
            <w:pPr>
              <w:pStyle w:val="Defaul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54814">
              <w:rPr>
                <w:rFonts w:eastAsia="Arial Unicode MS"/>
                <w:sz w:val="22"/>
                <w:szCs w:val="22"/>
                <w:lang w:val="uk-UA"/>
              </w:rPr>
              <w:t>40000,00</w:t>
            </w:r>
          </w:p>
        </w:tc>
        <w:tc>
          <w:tcPr>
            <w:tcW w:w="1139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Pr="00054814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31200,00</w:t>
            </w:r>
          </w:p>
        </w:tc>
      </w:tr>
      <w:tr w:rsidR="000A6A77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A6A77" w:rsidRPr="000B1FB8" w:rsidRDefault="000A6A77" w:rsidP="000A6A77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0A6A77" w:rsidRPr="000B1FB8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A6A77" w:rsidRPr="000B1FB8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A6A77" w:rsidRPr="000B1FB8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A6A77" w:rsidRPr="000B1FB8" w:rsidRDefault="000A6A77" w:rsidP="000A6A7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B1FB8" w:rsidRDefault="000A6A77" w:rsidP="000A6A7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Pr="000B1FB8" w:rsidRDefault="000A6A77" w:rsidP="000A6A77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5670,00</w:t>
            </w:r>
          </w:p>
        </w:tc>
      </w:tr>
      <w:tr w:rsidR="000A6A77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A6A77" w:rsidRPr="000B1FB8" w:rsidRDefault="000A6A77" w:rsidP="000A6A77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0A6A77" w:rsidRPr="000B1FB8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A6A77" w:rsidRPr="000B1FB8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A6A77" w:rsidRPr="000B1FB8" w:rsidRDefault="000A6A77" w:rsidP="000A6A7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A6A77" w:rsidRPr="000B1FB8" w:rsidRDefault="000A6A77" w:rsidP="000A6A7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B1FB8" w:rsidRDefault="000A6A77" w:rsidP="000A6A7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Pr="000B1FB8" w:rsidRDefault="000A6A77" w:rsidP="000A6A77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76807,00</w:t>
            </w:r>
          </w:p>
        </w:tc>
      </w:tr>
      <w:tr w:rsidR="000A6A77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A6A77" w:rsidRPr="000B1FB8" w:rsidRDefault="000A6A77" w:rsidP="000A6A77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0A6A77" w:rsidRPr="000B1FB8" w:rsidRDefault="000A6A77" w:rsidP="000A6A77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A6A77" w:rsidRPr="000B1FB8" w:rsidRDefault="000A6A77" w:rsidP="000A6A77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A6A77" w:rsidRPr="000B1FB8" w:rsidRDefault="000A6A77" w:rsidP="000A6A77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749900,00</w:t>
            </w:r>
          </w:p>
        </w:tc>
        <w:tc>
          <w:tcPr>
            <w:tcW w:w="1139" w:type="dxa"/>
            <w:shd w:val="clear" w:color="auto" w:fill="auto"/>
          </w:tcPr>
          <w:p w:rsidR="000A6A77" w:rsidRPr="000B1FB8" w:rsidRDefault="000A6A77" w:rsidP="000A6A7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A6A77" w:rsidRPr="000B1FB8" w:rsidRDefault="000A6A77" w:rsidP="000A6A7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A6A77" w:rsidRPr="000B1FB8" w:rsidRDefault="000A6A77" w:rsidP="000A6A77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460843,00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>на автором, складає</w:t>
      </w:r>
      <w:r w:rsidR="00054814">
        <w:t>749900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0A6A77">
        <w:t>460843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Pr="004E7D77" w:rsidRDefault="00F138B3" w:rsidP="001C37D2">
      <w:pPr>
        <w:pStyle w:val="Default"/>
        <w:ind w:right="-1"/>
        <w:jc w:val="both"/>
        <w:rPr>
          <w:b/>
          <w:lang w:val="uk-UA"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0A6A77">
        <w:rPr>
          <w:lang w:val="uk-UA"/>
        </w:rPr>
        <w:t>460843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</w:t>
      </w:r>
      <w:r w:rsidR="004E7D77">
        <w:rPr>
          <w:lang w:val="uk-UA"/>
        </w:rPr>
        <w:t xml:space="preserve">завищено витрати на придбання окремого обладнання, </w:t>
      </w:r>
      <w:proofErr w:type="spellStart"/>
      <w:r w:rsidR="001316A6">
        <w:rPr>
          <w:lang w:val="uk-UA"/>
        </w:rPr>
        <w:t>занижено</w:t>
      </w:r>
      <w:proofErr w:type="spellEnd"/>
      <w:r w:rsidR="001316A6">
        <w:rPr>
          <w:lang w:val="uk-UA"/>
        </w:rPr>
        <w:t xml:space="preserve"> витрати на </w:t>
      </w:r>
      <w:r w:rsidR="004E7D77">
        <w:rPr>
          <w:lang w:val="uk-UA"/>
        </w:rPr>
        <w:t>доставку та монтаж обладнання</w:t>
      </w:r>
      <w:r w:rsidR="001316A6">
        <w:rPr>
          <w:lang w:val="uk-UA"/>
        </w:rPr>
        <w:t xml:space="preserve">, здійснення авторського та технічного нагляду, </w:t>
      </w:r>
      <w:proofErr w:type="spellStart"/>
      <w:r w:rsidR="001316A6">
        <w:rPr>
          <w:lang w:eastAsia="uk-UA"/>
        </w:rPr>
        <w:t>кошторисний</w:t>
      </w:r>
      <w:proofErr w:type="spellEnd"/>
      <w:r w:rsidR="001316A6">
        <w:rPr>
          <w:lang w:eastAsia="uk-UA"/>
        </w:rPr>
        <w:t xml:space="preserve"> </w:t>
      </w:r>
      <w:proofErr w:type="spellStart"/>
      <w:r w:rsidR="001316A6">
        <w:rPr>
          <w:lang w:eastAsia="uk-UA"/>
        </w:rPr>
        <w:t>прибуток</w:t>
      </w:r>
      <w:proofErr w:type="spellEnd"/>
      <w:r w:rsidR="001316A6">
        <w:rPr>
          <w:lang w:val="uk-UA" w:eastAsia="uk-UA"/>
        </w:rPr>
        <w:t>,</w:t>
      </w:r>
      <w:r w:rsidR="001316A6">
        <w:rPr>
          <w:lang w:eastAsia="uk-UA"/>
        </w:rPr>
        <w:t xml:space="preserve"> </w:t>
      </w:r>
      <w:r>
        <w:t xml:space="preserve">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0D3100">
        <w:rPr>
          <w:lang w:val="uk-UA" w:eastAsia="uk-UA"/>
        </w:rPr>
        <w:t xml:space="preserve">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  <w:r w:rsidR="004E7D77">
        <w:rPr>
          <w:lang w:val="uk-UA"/>
        </w:rPr>
        <w:t xml:space="preserve"> Крім того, автором виключено витрати на влаштування бордюр, покриття гумового, бортового каменю, підготовку основи.</w:t>
      </w:r>
      <w:bookmarkStart w:id="0" w:name="_GoBack"/>
      <w:bookmarkEnd w:id="0"/>
      <w:r w:rsidR="004E7D77">
        <w:rPr>
          <w:lang w:val="uk-UA"/>
        </w:rPr>
        <w:t xml:space="preserve"> 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B253AF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B253AF">
        <w:t>негативний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54814"/>
    <w:rsid w:val="00074214"/>
    <w:rsid w:val="000A6A77"/>
    <w:rsid w:val="000B1FB8"/>
    <w:rsid w:val="000D3100"/>
    <w:rsid w:val="001316A6"/>
    <w:rsid w:val="001A5C41"/>
    <w:rsid w:val="001C37D2"/>
    <w:rsid w:val="00390E1C"/>
    <w:rsid w:val="003D3971"/>
    <w:rsid w:val="003E7051"/>
    <w:rsid w:val="00447A6A"/>
    <w:rsid w:val="004E013D"/>
    <w:rsid w:val="004E7D77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06A4D"/>
    <w:rsid w:val="008813BC"/>
    <w:rsid w:val="00892E0E"/>
    <w:rsid w:val="009A0DF7"/>
    <w:rsid w:val="009D5AD6"/>
    <w:rsid w:val="009F0015"/>
    <w:rsid w:val="00A0644F"/>
    <w:rsid w:val="00A47E64"/>
    <w:rsid w:val="00A60B5B"/>
    <w:rsid w:val="00B253AF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B05D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</cp:revision>
  <cp:lastPrinted>2017-10-25T06:47:00Z</cp:lastPrinted>
  <dcterms:created xsi:type="dcterms:W3CDTF">2019-02-07T08:50:00Z</dcterms:created>
  <dcterms:modified xsi:type="dcterms:W3CDTF">2019-03-28T08:47:00Z</dcterms:modified>
</cp:coreProperties>
</file>