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F558B7">
        <w:rPr>
          <w:b/>
          <w:bCs/>
          <w:sz w:val="28"/>
          <w:szCs w:val="28"/>
          <w:lang w:val="uk-UA"/>
        </w:rPr>
        <w:t>Парк активного та сімейного відпочинку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116C4">
        <w:rPr>
          <w:lang w:val="uk-UA"/>
        </w:rPr>
        <w:t>3</w:t>
      </w:r>
      <w:r w:rsidR="00F558B7">
        <w:rPr>
          <w:lang w:val="uk-UA"/>
        </w:rPr>
        <w:t>6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BF5BA5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="00BF5BA5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6646B2">
      <w:pPr>
        <w:pStyle w:val="Default"/>
        <w:ind w:right="-1"/>
        <w:jc w:val="both"/>
        <w:rPr>
          <w:lang w:val="uk-UA"/>
        </w:rPr>
      </w:pPr>
      <w:r>
        <w:rPr>
          <w:lang w:val="uk-UA"/>
        </w:rPr>
        <w:t xml:space="preserve">Потребує </w:t>
      </w:r>
      <w:r w:rsidR="00F33164">
        <w:rPr>
          <w:lang w:val="uk-UA"/>
        </w:rPr>
        <w:t xml:space="preserve">визначення балансоутримувача та </w:t>
      </w:r>
      <w:r>
        <w:rPr>
          <w:lang w:val="uk-UA"/>
        </w:rPr>
        <w:t>подальшого утримання</w:t>
      </w:r>
      <w:r w:rsidR="00F33164">
        <w:rPr>
          <w:lang w:val="uk-UA"/>
        </w:rPr>
        <w:t xml:space="preserve">, в тому числі необхідні витрати на здійснення охорони та працівника, який буде займатися </w:t>
      </w:r>
      <w:proofErr w:type="spellStart"/>
      <w:r w:rsidR="006646B2">
        <w:rPr>
          <w:lang w:val="uk-UA"/>
        </w:rPr>
        <w:t>видачею</w:t>
      </w:r>
      <w:proofErr w:type="spellEnd"/>
      <w:r w:rsidR="006646B2">
        <w:rPr>
          <w:lang w:val="uk-UA"/>
        </w:rPr>
        <w:t xml:space="preserve"> і </w:t>
      </w:r>
      <w:r w:rsidR="00F33164">
        <w:rPr>
          <w:lang w:val="uk-UA"/>
        </w:rPr>
        <w:t>прийомом обладнання</w:t>
      </w:r>
      <w:r w:rsidR="00655BCA">
        <w:rPr>
          <w:lang w:val="uk-UA"/>
        </w:rPr>
        <w:t xml:space="preserve"> та інвентарю</w:t>
      </w:r>
      <w:r w:rsidR="00F33164">
        <w:rPr>
          <w:lang w:val="uk-UA"/>
        </w:rPr>
        <w:t>.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="00BF5BA5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BF5BA5" w:rsidP="009A0DF7">
      <w:pPr>
        <w:pStyle w:val="Default"/>
        <w:ind w:right="-1"/>
        <w:jc w:val="both"/>
        <w:rPr>
          <w:lang w:val="uk-UA"/>
        </w:rPr>
      </w:pPr>
      <w:r>
        <w:rPr>
          <w:lang w:val="uk-UA"/>
        </w:rPr>
        <w:t>б) ні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F558B7" w:rsidRDefault="004E013D" w:rsidP="009A0DF7">
      <w:pPr>
        <w:pStyle w:val="Default"/>
        <w:ind w:right="-1"/>
        <w:jc w:val="both"/>
        <w:rPr>
          <w:lang w:val="uk-UA"/>
        </w:rPr>
      </w:pPr>
      <w:r w:rsidRPr="00F558B7">
        <w:rPr>
          <w:lang w:val="uk-UA"/>
        </w:rPr>
        <w:t xml:space="preserve">а) </w:t>
      </w:r>
      <w:r w:rsidRPr="005672BF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рахунок коштів міського бюджету м. Суми</w:t>
      </w:r>
      <w:r w:rsidR="00BF5BA5">
        <w:rPr>
          <w:lang w:val="uk-UA"/>
        </w:rPr>
        <w:t>;</w:t>
      </w:r>
    </w:p>
    <w:p w:rsidR="004E013D" w:rsidRDefault="004E013D" w:rsidP="009A0DF7">
      <w:pPr>
        <w:pStyle w:val="Default"/>
        <w:ind w:right="-1"/>
        <w:jc w:val="both"/>
        <w:rPr>
          <w:i/>
          <w:iCs/>
          <w:lang w:val="uk-UA"/>
        </w:rPr>
      </w:pPr>
      <w:r w:rsidRPr="008752B6">
        <w:rPr>
          <w:lang w:val="uk-UA"/>
        </w:rPr>
        <w:t xml:space="preserve">б) </w:t>
      </w:r>
      <w:r w:rsidRPr="005672BF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558B7">
        <w:rPr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0"/>
        <w:gridCol w:w="1225"/>
        <w:gridCol w:w="1343"/>
        <w:gridCol w:w="1139"/>
        <w:gridCol w:w="1224"/>
        <w:gridCol w:w="1261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Фанбокс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Рампа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Перила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 xml:space="preserve">Комплект захисту для роликів та </w:t>
            </w: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скейту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Роликові ковзани з регулювання розміру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1123,00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22460,00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1123,00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22460,00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Скейтборд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Скейтшлем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Трасса</w:t>
            </w:r>
            <w:proofErr w:type="spellEnd"/>
            <w:r w:rsidRPr="005672BF">
              <w:rPr>
                <w:rFonts w:eastAsia="Arial Unicode MS"/>
                <w:sz w:val="22"/>
                <w:szCs w:val="22"/>
              </w:rPr>
              <w:t xml:space="preserve"> для Альпінізму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</w:tr>
      <w:tr w:rsidR="009E3FE4" w:rsidRPr="008752B6" w:rsidTr="005672BF">
        <w:trPr>
          <w:trHeight w:val="629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Системи страхування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18750,00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18750,00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Мотузки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 по 12 м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 по 12 м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Пристрій страхування спусковий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Блоки, ролики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Карабіни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Каски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C7454C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C7454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1300,</w:t>
            </w:r>
            <w:r w:rsidR="00C7454C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19500,00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Плитка резинова 500*500*30 ПГ3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196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112700,00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196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112700,00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Влаштування піщаної основи h20 см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Лавки S 721.1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25200,00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25200,00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Урни S 742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990,00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990,00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7930,00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5672BF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Пуфи (</w:t>
            </w: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кресло</w:t>
            </w:r>
            <w:proofErr w:type="spellEnd"/>
            <w:r w:rsidRPr="005672BF">
              <w:rPr>
                <w:rFonts w:eastAsia="Arial Unicode MS"/>
                <w:sz w:val="22"/>
                <w:szCs w:val="22"/>
              </w:rPr>
              <w:t>-груша)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lastRenderedPageBreak/>
              <w:t>Гойдалки (дерев’яні), для зони відпочинку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Земляні роботи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 xml:space="preserve">Бетонне покриття для </w:t>
            </w: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скейт</w:t>
            </w:r>
            <w:proofErr w:type="spellEnd"/>
            <w:r w:rsidRPr="005672BF">
              <w:rPr>
                <w:rFonts w:eastAsia="Arial Unicode MS"/>
                <w:sz w:val="22"/>
                <w:szCs w:val="22"/>
              </w:rPr>
              <w:t xml:space="preserve"> майданчика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Технагляд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17155,00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Квіткові насадження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Насадження лісових масивів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 xml:space="preserve">Матеріал для вело та </w:t>
            </w:r>
            <w:proofErr w:type="spellStart"/>
            <w:r w:rsidRPr="005672BF">
              <w:rPr>
                <w:rFonts w:eastAsia="Arial Unicode MS"/>
                <w:sz w:val="22"/>
                <w:szCs w:val="22"/>
              </w:rPr>
              <w:t>скейт</w:t>
            </w:r>
            <w:proofErr w:type="spellEnd"/>
            <w:r w:rsidRPr="005672BF">
              <w:rPr>
                <w:rFonts w:eastAsia="Arial Unicode MS"/>
                <w:sz w:val="22"/>
                <w:szCs w:val="22"/>
              </w:rPr>
              <w:t xml:space="preserve"> парку (бетон)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 мішків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 мішків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12500,00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Монтаж сцени для садово-паркової архітектури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Відео-проектор та комплект апаратури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5672BF">
              <w:rPr>
                <w:rFonts w:eastAsia="Arial Unicode MS"/>
                <w:sz w:val="22"/>
                <w:szCs w:val="22"/>
              </w:rPr>
              <w:t>Вишукувальні роботи; кошторисний прибуток</w:t>
            </w:r>
            <w:r>
              <w:rPr>
                <w:rFonts w:eastAsia="Arial Unicode MS"/>
                <w:sz w:val="22"/>
                <w:szCs w:val="22"/>
              </w:rPr>
              <w:t>, 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61180,00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9470,00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120000,00</w:t>
            </w:r>
          </w:p>
        </w:tc>
      </w:tr>
      <w:tr w:rsidR="009E3FE4" w:rsidRPr="008752B6" w:rsidTr="00390E1C"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Облаштування газонів/косіння газонів</w:t>
            </w:r>
          </w:p>
        </w:tc>
        <w:tc>
          <w:tcPr>
            <w:tcW w:w="1259" w:type="dxa"/>
            <w:shd w:val="clear" w:color="auto" w:fill="auto"/>
          </w:tcPr>
          <w:p w:rsidR="009E3FE4" w:rsidRPr="009E3FE4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5000 </w:t>
            </w:r>
            <w:r>
              <w:rPr>
                <w:rFonts w:eastAsia="Arial Unicode MS"/>
                <w:sz w:val="22"/>
                <w:szCs w:val="22"/>
              </w:rPr>
              <w:t>м</w:t>
            </w:r>
            <w:r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9E3FE4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40000.00</w:t>
            </w:r>
          </w:p>
        </w:tc>
        <w:tc>
          <w:tcPr>
            <w:tcW w:w="1139" w:type="dxa"/>
            <w:shd w:val="clear" w:color="auto" w:fill="auto"/>
          </w:tcPr>
          <w:p w:rsidR="009E3FE4" w:rsidRPr="009E3FE4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5000 </w:t>
            </w:r>
            <w:r>
              <w:rPr>
                <w:rFonts w:eastAsia="Arial Unicode MS"/>
                <w:sz w:val="22"/>
                <w:szCs w:val="22"/>
              </w:rPr>
              <w:t>м</w:t>
            </w:r>
            <w:r>
              <w:rPr>
                <w:rFonts w:eastAsia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9E3FE4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40000.00</w:t>
            </w:r>
          </w:p>
        </w:tc>
      </w:tr>
      <w:tr w:rsidR="009E3FE4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9E3FE4" w:rsidRPr="009E3FE4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Облаштування скверів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 м2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26700,00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 м2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26700,00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Встановлення вуличного освітлення на енергозберігаючі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Встановлення дитячого майданчика з наступним обладнанням:</w:t>
            </w:r>
          </w:p>
          <w:p w:rsidR="009E3FE4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- ігровий комплекс «Малюк» Т801;</w:t>
            </w:r>
          </w:p>
          <w:p w:rsidR="009E3FE4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 xml:space="preserve">- гойдалка подвійна на металевих </w:t>
            </w:r>
            <w:proofErr w:type="spellStart"/>
            <w:r w:rsidRPr="00F33164">
              <w:rPr>
                <w:rFonts w:eastAsia="Arial Unicode MS"/>
                <w:sz w:val="22"/>
                <w:szCs w:val="22"/>
              </w:rPr>
              <w:t>стійках</w:t>
            </w:r>
            <w:proofErr w:type="spellEnd"/>
            <w:r w:rsidRPr="00F33164">
              <w:rPr>
                <w:rFonts w:eastAsia="Arial Unicode MS"/>
                <w:sz w:val="22"/>
                <w:szCs w:val="22"/>
              </w:rPr>
              <w:t xml:space="preserve"> Т405;</w:t>
            </w:r>
          </w:p>
          <w:p w:rsidR="009E3FE4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- гойдалка-балансир ТЕ201;</w:t>
            </w:r>
          </w:p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- лавка фанерна S741.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Влаштування бортового каменю вздовж тротуару та пішохідної доріжки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16500,00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lastRenderedPageBreak/>
              <w:t>Обрізка дерев/корчування пнів діаметром до 50см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249,00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2988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249,00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2988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Розбивка клумб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м2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322,00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3220,00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м2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322,00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3220,00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Висадка квітників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 м2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3360,00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 м2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112,00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3360,00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Висадка кущів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Висадка дерев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Саджанець дерева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Саджанець куща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33164">
              <w:rPr>
                <w:rFonts w:eastAsia="Arial Unicode MS"/>
                <w:sz w:val="22"/>
                <w:szCs w:val="22"/>
              </w:rPr>
              <w:t>Замощення дорожнього покриття тротуарною плиткою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 м2</w:t>
            </w: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550,00</w:t>
            </w:r>
          </w:p>
        </w:tc>
        <w:tc>
          <w:tcPr>
            <w:tcW w:w="1349" w:type="dxa"/>
            <w:shd w:val="clear" w:color="auto" w:fill="auto"/>
          </w:tcPr>
          <w:p w:rsidR="009E3FE4" w:rsidRPr="000B1FB8" w:rsidRDefault="009B4202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</w:t>
            </w:r>
            <w:r w:rsidR="00C7454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 м2</w:t>
            </w:r>
          </w:p>
        </w:tc>
        <w:tc>
          <w:tcPr>
            <w:tcW w:w="1233" w:type="dxa"/>
            <w:shd w:val="clear" w:color="auto" w:fill="auto"/>
          </w:tcPr>
          <w:p w:rsidR="009E3FE4" w:rsidRPr="000B1FB8" w:rsidRDefault="003C5447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</w:t>
            </w:r>
            <w:r w:rsidR="009E3FE4">
              <w:rPr>
                <w:rFonts w:eastAsia="Arial Unicode MS"/>
                <w:sz w:val="22"/>
                <w:szCs w:val="22"/>
              </w:rPr>
              <w:t>0,00</w:t>
            </w:r>
          </w:p>
        </w:tc>
        <w:tc>
          <w:tcPr>
            <w:tcW w:w="1228" w:type="dxa"/>
            <w:shd w:val="clear" w:color="auto" w:fill="auto"/>
          </w:tcPr>
          <w:p w:rsidR="009E3FE4" w:rsidRPr="000B1FB8" w:rsidRDefault="003C5447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800000,00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Проектно-кошторисні роботи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Default="009E3FE4" w:rsidP="009B420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159500,</w:t>
            </w:r>
            <w:r w:rsidR="009B4202">
              <w:rPr>
                <w:rFonts w:eastAsia="Arial Unicode MS"/>
                <w:sz w:val="22"/>
                <w:szCs w:val="22"/>
              </w:rPr>
              <w:t>00</w:t>
            </w:r>
          </w:p>
          <w:p w:rsidR="009B4202" w:rsidRPr="000B1FB8" w:rsidRDefault="009B4202" w:rsidP="009B420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B420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159500,</w:t>
            </w:r>
            <w:r w:rsidR="009B4202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Влаштування основи під влаштування резинової плитки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29400,00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9B4202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Кошти на покриття ризиків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9B4202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13724,00</w:t>
            </w:r>
          </w:p>
        </w:tc>
      </w:tr>
      <w:tr w:rsidR="009E3FE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9E3FE4" w:rsidRPr="000B1FB8" w:rsidRDefault="003C5447" w:rsidP="009E3FE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3C5447" w:rsidP="009E3FE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368527,00</w:t>
            </w:r>
          </w:p>
        </w:tc>
      </w:tr>
      <w:tr w:rsidR="009E3FE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E3FE4" w:rsidRPr="000B1FB8" w:rsidRDefault="009E3FE4" w:rsidP="009E3FE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E3FE4" w:rsidRPr="000B1FB8" w:rsidRDefault="003C5447" w:rsidP="009E3FE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1026711,00</w:t>
            </w:r>
          </w:p>
        </w:tc>
        <w:tc>
          <w:tcPr>
            <w:tcW w:w="1139" w:type="dxa"/>
            <w:shd w:val="clear" w:color="auto" w:fill="auto"/>
          </w:tcPr>
          <w:p w:rsidR="009E3FE4" w:rsidRPr="000B1FB8" w:rsidRDefault="009E3FE4" w:rsidP="009E3FE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E3FE4" w:rsidRPr="000B1FB8" w:rsidRDefault="009E3FE4" w:rsidP="009E3FE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E3FE4" w:rsidRPr="000B1FB8" w:rsidRDefault="003C5447" w:rsidP="009E3FE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2211164,00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F558B7">
        <w:t>1026711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F558B7" w:rsidRPr="008752B6" w:rsidRDefault="00F558B7" w:rsidP="00F558B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</w:t>
      </w:r>
      <w:r w:rsidR="00BF5BA5">
        <w:t>і</w:t>
      </w:r>
      <w:r w:rsidRPr="008752B6">
        <w:t xml:space="preserve">з зауваженнями виконавчого органу, складає </w:t>
      </w:r>
      <w:r w:rsidR="00BF5BA5">
        <w:t xml:space="preserve">2211164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BF3522" w:rsidRDefault="00BF3522" w:rsidP="00F558B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F138B3" w:rsidRDefault="00F558B7" w:rsidP="00F558B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 внесених змін:</w:t>
      </w:r>
    </w:p>
    <w:p w:rsidR="00BF3522" w:rsidRDefault="00BF3522" w:rsidP="00F558B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вартіс</w:t>
      </w:r>
      <w:r w:rsidR="00BF5BA5">
        <w:t>ть будівництва складає 2211164</w:t>
      </w:r>
      <w:r>
        <w:t xml:space="preserve"> грн, а остаточна вартість визначається робочим проектом. При розрахунку вартості проекту автором не враховано витрати на влаштування основи під влаштування резинової плитки, кошти на покриття ризиків всіх учасників будівництва, сплату ПДВ, </w:t>
      </w:r>
      <w:proofErr w:type="spellStart"/>
      <w:r>
        <w:t>занижено</w:t>
      </w:r>
      <w:proofErr w:type="spellEnd"/>
      <w:r>
        <w:t xml:space="preserve"> витрати на</w:t>
      </w:r>
      <w:r w:rsidR="00BF5BA5">
        <w:t xml:space="preserve"> з</w:t>
      </w:r>
      <w:r w:rsidRPr="00F33164">
        <w:rPr>
          <w:rFonts w:eastAsia="Arial Unicode MS"/>
          <w:sz w:val="22"/>
          <w:szCs w:val="22"/>
        </w:rPr>
        <w:t>амощення дорожнього покриття тротуарною плиткою</w:t>
      </w:r>
      <w:r>
        <w:rPr>
          <w:rFonts w:eastAsia="Arial Unicode MS"/>
          <w:sz w:val="22"/>
          <w:szCs w:val="22"/>
        </w:rPr>
        <w:t>, в</w:t>
      </w:r>
      <w:r w:rsidRPr="005672BF">
        <w:rPr>
          <w:rFonts w:eastAsia="Arial Unicode MS"/>
          <w:sz w:val="22"/>
          <w:szCs w:val="22"/>
        </w:rPr>
        <w:t>ишукувальні роботи; кошторисний прибуток</w:t>
      </w:r>
      <w:r>
        <w:rPr>
          <w:rFonts w:eastAsia="Arial Unicode MS"/>
          <w:sz w:val="22"/>
          <w:szCs w:val="22"/>
        </w:rPr>
        <w:t>, авторський нагляд. Крім того, автором проекту не передбачено приміщення для зберігання обладнання та інвента</w:t>
      </w:r>
      <w:r w:rsidR="00BF5BA5">
        <w:rPr>
          <w:rFonts w:eastAsia="Arial Unicode MS"/>
          <w:sz w:val="22"/>
          <w:szCs w:val="22"/>
        </w:rPr>
        <w:t>рю, а також введення штатної одиниці працівника.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E95F40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а) </w:t>
      </w:r>
      <w:r w:rsidR="004E013D"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655BCA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>
        <w:t>2211164,00</w:t>
      </w:r>
      <w:r w:rsidRPr="000D3100">
        <w:t xml:space="preserve"> грн, що на </w:t>
      </w:r>
      <w:r>
        <w:t>711164,00</w:t>
      </w:r>
      <w:r w:rsidRPr="000D3100">
        <w:t xml:space="preserve"> грн перевищує суму</w:t>
      </w:r>
      <w:r w:rsidR="00E95F40">
        <w:t>,</w:t>
      </w:r>
      <w:r w:rsidRPr="000D3100">
        <w:t xml:space="preserve">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(партиципаторний) бюджет м.</w:t>
      </w:r>
      <w:r w:rsidRPr="00163547">
        <w:t> </w:t>
      </w:r>
      <w:r w:rsidRPr="000D3100">
        <w:t>Суми, затвердженого рішенням Х</w:t>
      </w:r>
      <w:r>
        <w:rPr>
          <w:lang w:val="en-US"/>
        </w:rPr>
        <w:t>L</w:t>
      </w:r>
      <w:r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Pr="009F0015">
        <w:t>08</w:t>
      </w:r>
      <w:r w:rsidRPr="000D3100">
        <w:t>.0</w:t>
      </w:r>
      <w:r w:rsidRPr="009F0015">
        <w:t>8</w:t>
      </w:r>
      <w:r w:rsidRPr="000D3100">
        <w:t>.201</w:t>
      </w:r>
      <w:r w:rsidRPr="009F0015">
        <w:t>8</w:t>
      </w:r>
      <w:r w:rsidRPr="000D3100">
        <w:t xml:space="preserve"> №</w:t>
      </w:r>
      <w:r w:rsidRPr="00163547">
        <w:t> </w:t>
      </w:r>
      <w:r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(партиципаторн</w:t>
      </w:r>
      <w:r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655BCA" w:rsidRDefault="00655BCA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bookmarkStart w:id="0" w:name="_GoBack"/>
      <w:r>
        <w:t xml:space="preserve">Крім того, згаданий проект в подальшому потребує визначення балансоутримувача та подальшого утримання, в тому числі необхідні витрати на здійснення охорони та працівника, який буде займатися </w:t>
      </w:r>
      <w:proofErr w:type="spellStart"/>
      <w:r>
        <w:t>видачею</w:t>
      </w:r>
      <w:proofErr w:type="spellEnd"/>
      <w:r>
        <w:t xml:space="preserve"> і прийомом обладнання та інвентарю</w:t>
      </w:r>
      <w:r w:rsidR="00BF5BA5">
        <w:t>.</w:t>
      </w:r>
    </w:p>
    <w:bookmarkEnd w:id="0"/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1654"/>
    <w:rsid w:val="00074214"/>
    <w:rsid w:val="00097790"/>
    <w:rsid w:val="000B1FB8"/>
    <w:rsid w:val="000D3100"/>
    <w:rsid w:val="000E37FE"/>
    <w:rsid w:val="001A5C41"/>
    <w:rsid w:val="001C37D2"/>
    <w:rsid w:val="00390E1C"/>
    <w:rsid w:val="003C5447"/>
    <w:rsid w:val="003D3971"/>
    <w:rsid w:val="003E7051"/>
    <w:rsid w:val="00447A6A"/>
    <w:rsid w:val="004E013D"/>
    <w:rsid w:val="00506662"/>
    <w:rsid w:val="00527E45"/>
    <w:rsid w:val="005340FA"/>
    <w:rsid w:val="005672BF"/>
    <w:rsid w:val="005F30A5"/>
    <w:rsid w:val="005F7F0C"/>
    <w:rsid w:val="0061342D"/>
    <w:rsid w:val="00655BCA"/>
    <w:rsid w:val="006646B2"/>
    <w:rsid w:val="00670148"/>
    <w:rsid w:val="006949EE"/>
    <w:rsid w:val="007A3C0A"/>
    <w:rsid w:val="007E305D"/>
    <w:rsid w:val="008035D6"/>
    <w:rsid w:val="008116C4"/>
    <w:rsid w:val="008813BC"/>
    <w:rsid w:val="00892E0E"/>
    <w:rsid w:val="00904BEA"/>
    <w:rsid w:val="009A0DF7"/>
    <w:rsid w:val="009B4202"/>
    <w:rsid w:val="009D5AD6"/>
    <w:rsid w:val="009E3FE4"/>
    <w:rsid w:val="009F0015"/>
    <w:rsid w:val="00A0644F"/>
    <w:rsid w:val="00A13D77"/>
    <w:rsid w:val="00A47E64"/>
    <w:rsid w:val="00A60B5B"/>
    <w:rsid w:val="00B4751D"/>
    <w:rsid w:val="00B63B9C"/>
    <w:rsid w:val="00BB34BB"/>
    <w:rsid w:val="00BF3522"/>
    <w:rsid w:val="00BF5BA5"/>
    <w:rsid w:val="00C23B85"/>
    <w:rsid w:val="00C7454C"/>
    <w:rsid w:val="00C931D7"/>
    <w:rsid w:val="00C96153"/>
    <w:rsid w:val="00D62CE0"/>
    <w:rsid w:val="00E95F40"/>
    <w:rsid w:val="00EA75B9"/>
    <w:rsid w:val="00F01035"/>
    <w:rsid w:val="00F05FA7"/>
    <w:rsid w:val="00F138B3"/>
    <w:rsid w:val="00F33164"/>
    <w:rsid w:val="00F5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B96A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10</cp:revision>
  <cp:lastPrinted>2017-10-25T06:47:00Z</cp:lastPrinted>
  <dcterms:created xsi:type="dcterms:W3CDTF">2019-02-07T07:25:00Z</dcterms:created>
  <dcterms:modified xsi:type="dcterms:W3CDTF">2019-05-29T11:50:00Z</dcterms:modified>
</cp:coreProperties>
</file>