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410F61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Дитячо</w:t>
      </w:r>
      <w:proofErr w:type="spellEnd"/>
      <w:r>
        <w:rPr>
          <w:b/>
          <w:sz w:val="28"/>
          <w:szCs w:val="28"/>
          <w:u w:val="single"/>
          <w:lang w:val="uk-UA"/>
        </w:rPr>
        <w:t>-розвальний комплекс «Сонячний мікрорайон»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410F61" w:rsidP="005E282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410F61" w:rsidP="005E282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410F61" w:rsidP="005E282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410F61" w:rsidP="005E282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09"/>
        <w:gridCol w:w="1236"/>
        <w:gridCol w:w="1236"/>
        <w:gridCol w:w="1210"/>
        <w:gridCol w:w="1248"/>
        <w:gridCol w:w="1528"/>
      </w:tblGrid>
      <w:tr w:rsidR="004E013D" w:rsidRPr="008752B6" w:rsidTr="0026607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D65A3E" w:rsidRPr="008752B6" w:rsidTr="0026607F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7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2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5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F646D8" w:rsidRPr="0026607F" w:rsidRDefault="00055C60" w:rsidP="00055C6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Ігровий комплекс </w:t>
            </w:r>
            <w:r w:rsidR="00F646D8" w:rsidRPr="0026607F">
              <w:rPr>
                <w:color w:val="000000"/>
                <w:lang w:eastAsia="uk-UA"/>
              </w:rPr>
              <w:t>"БАСТІОН-3"</w:t>
            </w:r>
          </w:p>
        </w:tc>
        <w:tc>
          <w:tcPr>
            <w:tcW w:w="122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color w:val="000000"/>
              </w:rPr>
            </w:pPr>
            <w:r w:rsidRPr="0026607F">
              <w:rPr>
                <w:color w:val="000000"/>
              </w:rPr>
              <w:t>Ігровий комплекс "</w:t>
            </w:r>
            <w:proofErr w:type="spellStart"/>
            <w:r w:rsidRPr="0026607F">
              <w:rPr>
                <w:color w:val="000000"/>
              </w:rPr>
              <w:t>Бастион</w:t>
            </w:r>
            <w:proofErr w:type="spellEnd"/>
            <w:r w:rsidRPr="0026607F">
              <w:rPr>
                <w:color w:val="000000"/>
              </w:rPr>
              <w:t xml:space="preserve"> NEW" </w:t>
            </w:r>
            <w:proofErr w:type="spellStart"/>
            <w:r w:rsidRPr="0026607F">
              <w:rPr>
                <w:color w:val="000000"/>
              </w:rPr>
              <w:lastRenderedPageBreak/>
              <w:t>InterAtletika</w:t>
            </w:r>
            <w:proofErr w:type="spellEnd"/>
            <w:r w:rsidRPr="0026607F">
              <w:rPr>
                <w:color w:val="000000"/>
              </w:rPr>
              <w:t xml:space="preserve"> Т912.1 NEW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360"/>
              </w:tabs>
              <w:ind w:right="-192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330000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330000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F646D8" w:rsidRPr="0026607F" w:rsidRDefault="00F646D8" w:rsidP="009B1B85">
            <w:pPr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lastRenderedPageBreak/>
              <w:t xml:space="preserve">Будівельно-монтажні  з встановлення ігрового </w:t>
            </w:r>
            <w:proofErr w:type="spellStart"/>
            <w:r w:rsidRPr="0026607F">
              <w:rPr>
                <w:color w:val="000000"/>
                <w:lang w:eastAsia="uk-UA"/>
              </w:rPr>
              <w:t>комплекса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F646D8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46D8" w:rsidRPr="00F646D8" w:rsidRDefault="0026607F" w:rsidP="00A11E92">
            <w:pPr>
              <w:pStyle w:val="Default"/>
              <w:tabs>
                <w:tab w:val="left" w:pos="1240"/>
              </w:tabs>
              <w:ind w:right="-126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82500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  <w:tc>
          <w:tcPr>
            <w:tcW w:w="1576" w:type="dxa"/>
            <w:shd w:val="clear" w:color="auto" w:fill="auto"/>
          </w:tcPr>
          <w:p w:rsidR="00F646D8" w:rsidRPr="00F646D8" w:rsidRDefault="0026607F" w:rsidP="00A11E92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82500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F646D8" w:rsidRPr="0026607F" w:rsidRDefault="00F646D8" w:rsidP="009B1B85">
            <w:pPr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t xml:space="preserve">Дерев'яний </w:t>
            </w:r>
            <w:proofErr w:type="spellStart"/>
            <w:r w:rsidRPr="0026607F">
              <w:rPr>
                <w:color w:val="000000"/>
                <w:lang w:eastAsia="uk-UA"/>
              </w:rPr>
              <w:t>штакетник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по периметру майданчика</w:t>
            </w:r>
          </w:p>
        </w:tc>
        <w:tc>
          <w:tcPr>
            <w:tcW w:w="122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50</w:t>
            </w:r>
          </w:p>
        </w:tc>
        <w:tc>
          <w:tcPr>
            <w:tcW w:w="119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3000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F646D8" w:rsidRPr="0026607F" w:rsidRDefault="00F646D8" w:rsidP="009B1B85">
            <w:pPr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t xml:space="preserve">Будівельно-монтажні  з встановлення та фарбування </w:t>
            </w:r>
            <w:proofErr w:type="spellStart"/>
            <w:r w:rsidRPr="0026607F">
              <w:rPr>
                <w:color w:val="000000"/>
                <w:lang w:eastAsia="uk-UA"/>
              </w:rPr>
              <w:t>штакетника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50</w:t>
            </w:r>
          </w:p>
        </w:tc>
        <w:tc>
          <w:tcPr>
            <w:tcW w:w="119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3000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F646D8" w:rsidRPr="0026607F" w:rsidRDefault="00F646D8" w:rsidP="009B1B85">
            <w:pPr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t>Травмобезпечне покриття 500*500 мм з укладанням</w:t>
            </w:r>
          </w:p>
        </w:tc>
        <w:tc>
          <w:tcPr>
            <w:tcW w:w="122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650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F646D8" w:rsidRPr="00F646D8" w:rsidRDefault="00F646D8" w:rsidP="00A11E92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26000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F646D8" w:rsidRPr="00F646D8" w:rsidRDefault="00F646D8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Доставка ігрового комплексу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color w:val="000000"/>
              </w:rPr>
            </w:pPr>
            <w:r w:rsidRPr="0026607F">
              <w:rPr>
                <w:color w:val="000000"/>
              </w:rPr>
              <w:t>Проектно-конструкторська документація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4950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Експертиза проекту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Авторський нагляд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Технічний нагляд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D65A3E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2063,00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1015</w:t>
            </w:r>
            <w:r w:rsidR="00D65A3E">
              <w:rPr>
                <w:rFonts w:eastAsia="Arial Unicode MS"/>
                <w:lang w:val="uk-UA"/>
              </w:rPr>
              <w:t>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Кошторис прибутку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223</w:t>
            </w:r>
            <w:r w:rsidR="00D65A3E">
              <w:rPr>
                <w:rFonts w:eastAsia="Arial Unicode MS"/>
                <w:lang w:val="uk-UA"/>
              </w:rPr>
              <w:t>6,00</w:t>
            </w:r>
          </w:p>
        </w:tc>
      </w:tr>
      <w:tr w:rsidR="00D65A3E" w:rsidRPr="00F646D8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>Інфляція</w:t>
            </w:r>
          </w:p>
        </w:tc>
        <w:tc>
          <w:tcPr>
            <w:tcW w:w="122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F646D8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3681</w:t>
            </w:r>
            <w:r w:rsidR="00D65A3E">
              <w:rPr>
                <w:rFonts w:eastAsia="Arial Unicode MS"/>
                <w:lang w:val="uk-UA"/>
              </w:rPr>
              <w:t>5,00</w:t>
            </w:r>
          </w:p>
        </w:tc>
      </w:tr>
      <w:tr w:rsidR="0026607F" w:rsidRPr="0026607F" w:rsidTr="0026607F">
        <w:tc>
          <w:tcPr>
            <w:tcW w:w="2186" w:type="dxa"/>
            <w:shd w:val="clear" w:color="auto" w:fill="auto"/>
            <w:vAlign w:val="bottom"/>
          </w:tcPr>
          <w:p w:rsidR="0026607F" w:rsidRPr="0026607F" w:rsidRDefault="0026607F" w:rsidP="009B1B85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 xml:space="preserve">Непередбачені </w:t>
            </w:r>
            <w:r w:rsidRPr="0026607F">
              <w:rPr>
                <w:bCs/>
                <w:color w:val="000000"/>
                <w:lang w:eastAsia="uk-UA"/>
              </w:rPr>
              <w:br/>
              <w:t>витрати:</w:t>
            </w:r>
          </w:p>
        </w:tc>
        <w:tc>
          <w:tcPr>
            <w:tcW w:w="1222" w:type="dxa"/>
            <w:shd w:val="clear" w:color="auto" w:fill="auto"/>
          </w:tcPr>
          <w:p w:rsidR="0026607F" w:rsidRPr="0026607F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26607F" w:rsidRDefault="0026607F" w:rsidP="00A11E9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26607F" w:rsidRDefault="0026607F" w:rsidP="00A11E92">
            <w:pPr>
              <w:jc w:val="center"/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t>1000</w:t>
            </w:r>
            <w:r w:rsidR="00D65A3E"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26607F" w:rsidRPr="0026607F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26607F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26607F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2377</w:t>
            </w:r>
            <w:r w:rsidR="00D65A3E">
              <w:rPr>
                <w:rFonts w:eastAsia="Arial Unicode MS"/>
                <w:lang w:val="uk-UA"/>
              </w:rPr>
              <w:t>9,00</w:t>
            </w:r>
          </w:p>
        </w:tc>
      </w:tr>
      <w:tr w:rsidR="00D65A3E" w:rsidRPr="00D65A3E" w:rsidTr="0026607F">
        <w:tc>
          <w:tcPr>
            <w:tcW w:w="2186" w:type="dxa"/>
            <w:shd w:val="clear" w:color="auto" w:fill="auto"/>
            <w:vAlign w:val="bottom"/>
          </w:tcPr>
          <w:p w:rsidR="0026607F" w:rsidRPr="00D65A3E" w:rsidRDefault="0026607F" w:rsidP="00D65A3E">
            <w:pPr>
              <w:rPr>
                <w:b/>
                <w:bCs/>
                <w:color w:val="000000"/>
                <w:lang w:eastAsia="uk-UA"/>
              </w:rPr>
            </w:pPr>
            <w:r w:rsidRPr="00D65A3E">
              <w:rPr>
                <w:b/>
                <w:bCs/>
                <w:color w:val="000000"/>
                <w:lang w:eastAsia="uk-UA"/>
              </w:rPr>
              <w:t>В</w:t>
            </w:r>
            <w:r w:rsidR="00D65A3E">
              <w:rPr>
                <w:b/>
                <w:bCs/>
                <w:color w:val="000000"/>
                <w:lang w:eastAsia="uk-UA"/>
              </w:rPr>
              <w:t>сього</w:t>
            </w:r>
            <w:r w:rsidRPr="00D65A3E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222" w:type="dxa"/>
            <w:shd w:val="clear" w:color="auto" w:fill="auto"/>
          </w:tcPr>
          <w:p w:rsidR="0026607F" w:rsidRPr="00D65A3E" w:rsidRDefault="0026607F" w:rsidP="00A11E9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26607F" w:rsidRPr="00D65A3E" w:rsidRDefault="0026607F" w:rsidP="00A11E9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26607F" w:rsidRPr="00D65A3E" w:rsidRDefault="0026607F" w:rsidP="00A11E92">
            <w:pPr>
              <w:jc w:val="center"/>
              <w:rPr>
                <w:b/>
                <w:color w:val="000000"/>
                <w:lang w:eastAsia="uk-UA"/>
              </w:rPr>
            </w:pPr>
            <w:r w:rsidRPr="00D65A3E">
              <w:rPr>
                <w:b/>
                <w:color w:val="000000"/>
                <w:lang w:eastAsia="uk-UA"/>
              </w:rPr>
              <w:t>499950</w:t>
            </w:r>
            <w:r w:rsidR="00D65A3E" w:rsidRPr="00D65A3E">
              <w:rPr>
                <w:b/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26607F" w:rsidRPr="00D65A3E" w:rsidRDefault="0026607F" w:rsidP="00A11E92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6607F" w:rsidRPr="00D65A3E" w:rsidRDefault="0026607F" w:rsidP="00A11E92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26607F" w:rsidRPr="00D65A3E" w:rsidRDefault="0026607F" w:rsidP="00A11E92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b/>
                <w:lang w:val="uk-UA"/>
              </w:rPr>
            </w:pPr>
            <w:r w:rsidRPr="00D65A3E">
              <w:rPr>
                <w:rFonts w:eastAsia="Arial Unicode MS"/>
                <w:b/>
                <w:lang w:val="uk-UA"/>
              </w:rPr>
              <w:t>49935</w:t>
            </w:r>
            <w:r w:rsidR="00D65A3E" w:rsidRPr="00D65A3E">
              <w:rPr>
                <w:rFonts w:eastAsia="Arial Unicode MS"/>
                <w:b/>
                <w:lang w:val="uk-UA"/>
              </w:rPr>
              <w:t>8,00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410F61">
        <w:t>499500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A11E92">
        <w:t>499358,00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2B35E9" w:rsidRPr="002B35E9" w:rsidRDefault="002B35E9" w:rsidP="002B35E9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2B35E9">
        <w:t>Орієнтовна вартість будівництва складає 4</w:t>
      </w:r>
      <w:r>
        <w:t>99358</w:t>
      </w:r>
      <w:r w:rsidRPr="002B35E9">
        <w:t xml:space="preserve">,00 грн, а остаточна вартість визначається робочим проектом. При розрахунку вартості проекту автором </w:t>
      </w:r>
      <w:proofErr w:type="spellStart"/>
      <w:r>
        <w:t>занижено</w:t>
      </w:r>
      <w:proofErr w:type="spellEnd"/>
      <w:r>
        <w:t xml:space="preserve"> вартість будівельно-монтажних робіт по встановленню будівельного майданчика, </w:t>
      </w:r>
      <w:r w:rsidRPr="002B35E9">
        <w:t xml:space="preserve">не враховано витрати на </w:t>
      </w:r>
      <w:r>
        <w:t xml:space="preserve">доставку ігрового комплексу, вишукувальні роботи, </w:t>
      </w:r>
      <w:r w:rsidRPr="002B35E9">
        <w:t>виготовлення проектної документації</w:t>
      </w:r>
      <w:r>
        <w:t xml:space="preserve"> та її експертизу, авторський та технічний нагляд, адміністративні витрати, кошторисний прибуток,</w:t>
      </w:r>
      <w:r w:rsidRPr="002B35E9">
        <w:t xml:space="preserve"> інфляцію</w:t>
      </w:r>
      <w:r>
        <w:t>.</w:t>
      </w:r>
      <w:r w:rsidRPr="002B35E9">
        <w:t xml:space="preserve"> Крім того, автором </w:t>
      </w:r>
      <w:r w:rsidR="00055C60">
        <w:t xml:space="preserve">включено ігровий комплекс «Бастіон» за меншою вартістю та </w:t>
      </w:r>
      <w:bookmarkStart w:id="0" w:name="_GoBack"/>
      <w:bookmarkEnd w:id="0"/>
      <w:r>
        <w:t>виключено з проекту роботи по придбанню і встановленню огорожі та травмонебезпечного покриття</w:t>
      </w:r>
      <w:r w:rsidRPr="002B35E9">
        <w:t>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55C60"/>
    <w:rsid w:val="00134DCA"/>
    <w:rsid w:val="00255879"/>
    <w:rsid w:val="0026607F"/>
    <w:rsid w:val="00267E4C"/>
    <w:rsid w:val="00285A72"/>
    <w:rsid w:val="002B35E9"/>
    <w:rsid w:val="002D45B8"/>
    <w:rsid w:val="003616AA"/>
    <w:rsid w:val="003661E4"/>
    <w:rsid w:val="00410F61"/>
    <w:rsid w:val="00457E81"/>
    <w:rsid w:val="004D196D"/>
    <w:rsid w:val="004E013D"/>
    <w:rsid w:val="005E282D"/>
    <w:rsid w:val="005F30A5"/>
    <w:rsid w:val="00933659"/>
    <w:rsid w:val="009573A3"/>
    <w:rsid w:val="00963D6E"/>
    <w:rsid w:val="00A11E92"/>
    <w:rsid w:val="00A7480D"/>
    <w:rsid w:val="00AD3A78"/>
    <w:rsid w:val="00AF395E"/>
    <w:rsid w:val="00B71CE0"/>
    <w:rsid w:val="00BC1FCD"/>
    <w:rsid w:val="00BE7A7E"/>
    <w:rsid w:val="00D65A3E"/>
    <w:rsid w:val="00E1167F"/>
    <w:rsid w:val="00F646D8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10EF-FE2A-4D35-9B9E-6D5C9771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2017-10-26T06:56:00Z</dcterms:created>
  <dcterms:modified xsi:type="dcterms:W3CDTF">2017-10-27T05:58:00Z</dcterms:modified>
</cp:coreProperties>
</file>