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617C6D" w:rsidRDefault="00617C6D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Будівництво спортивного майданчика з гумовим покриттям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5E282D" w:rsidRDefault="004E013D" w:rsidP="00570541">
      <w:pPr>
        <w:pStyle w:val="Default"/>
        <w:tabs>
          <w:tab w:val="left" w:pos="5385"/>
        </w:tabs>
        <w:ind w:right="340"/>
        <w:jc w:val="both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 w:rsidR="00570541">
        <w:rPr>
          <w:noProof/>
          <w:lang w:val="uk-UA" w:eastAsia="uk-UA"/>
        </w:rPr>
      </w:r>
      <w:r w:rsidR="00570541">
        <w:rPr>
          <w:noProof/>
          <w:lang w:val="uk-UA" w:eastAsia="uk-UA"/>
        </w:rPr>
        <w:pict>
          <v:rect id="Прямоугольник 256" o:spid="_x0000_s1029" style="width:15.75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617C6D" w:rsidP="005E282D">
                  <w:pPr>
                    <w:jc w:val="center"/>
                  </w:pPr>
                  <w:r>
                    <w:t>7</w:t>
                  </w:r>
                </w:p>
              </w:txbxContent>
            </v:textbox>
            <w10:wrap type="none"/>
            <w10:anchorlock/>
          </v:rect>
        </w:pict>
      </w:r>
      <w:r w:rsidR="00570541">
        <w:rPr>
          <w:noProof/>
          <w:lang w:val="uk-UA" w:eastAsia="uk-UA"/>
        </w:rPr>
      </w:r>
      <w:r w:rsidR="00570541">
        <w:rPr>
          <w:noProof/>
          <w:lang w:val="uk-UA" w:eastAsia="uk-UA"/>
        </w:rPr>
        <w:pict>
          <v:rect id="Прямоугольник 255" o:spid="_x0000_s1028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617C6D" w:rsidP="005E282D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type="none"/>
            <w10:anchorlock/>
          </v:rect>
        </w:pic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594133" w:rsidRDefault="00594133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570541" w:rsidRDefault="00267E4C" w:rsidP="004E013D">
      <w:pPr>
        <w:pStyle w:val="Default"/>
        <w:ind w:right="340"/>
        <w:rPr>
          <w:i/>
          <w:lang w:val="uk-UA"/>
        </w:rPr>
      </w:pPr>
      <w:r w:rsidRPr="00570541">
        <w:rPr>
          <w:i/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4B1B4D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4B1B4D">
        <w:rPr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B1B4D" w:rsidRDefault="004E013D" w:rsidP="004E013D">
      <w:pPr>
        <w:pStyle w:val="Default"/>
        <w:ind w:right="340"/>
        <w:jc w:val="both"/>
        <w:rPr>
          <w:b/>
          <w:i/>
          <w:iCs/>
          <w:u w:val="single"/>
          <w:lang w:val="uk-UA"/>
        </w:rPr>
      </w:pPr>
      <w:r w:rsidRPr="008752B6">
        <w:rPr>
          <w:lang w:val="uk-UA"/>
        </w:rPr>
        <w:t xml:space="preserve">б) </w:t>
      </w:r>
      <w:r w:rsidRPr="004B1B4D">
        <w:rPr>
          <w:b/>
          <w:u w:val="single"/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4B1B4D">
        <w:rPr>
          <w:b/>
          <w:i/>
          <w:iCs/>
          <w:u w:val="single"/>
          <w:lang w:val="uk-UA"/>
        </w:rPr>
        <w:t xml:space="preserve"> (обґрунтування)</w:t>
      </w:r>
      <w:r w:rsidR="004B1B4D">
        <w:rPr>
          <w:b/>
          <w:i/>
          <w:iCs/>
          <w:u w:val="single"/>
          <w:lang w:val="uk-UA"/>
        </w:rPr>
        <w:t xml:space="preserve">, </w:t>
      </w:r>
    </w:p>
    <w:p w:rsidR="00570541" w:rsidRDefault="00570541" w:rsidP="004E013D">
      <w:pPr>
        <w:pStyle w:val="Default"/>
        <w:ind w:right="340"/>
        <w:jc w:val="both"/>
        <w:rPr>
          <w:lang w:val="en-US"/>
        </w:rPr>
      </w:pPr>
    </w:p>
    <w:p w:rsidR="004E013D" w:rsidRPr="00594133" w:rsidRDefault="00594133" w:rsidP="004E013D">
      <w:pPr>
        <w:pStyle w:val="Default"/>
        <w:ind w:right="340"/>
        <w:jc w:val="both"/>
        <w:rPr>
          <w:lang w:val="uk-UA"/>
        </w:rPr>
      </w:pPr>
      <w:r w:rsidRPr="00BE7A7E">
        <w:rPr>
          <w:lang w:val="uk-UA"/>
        </w:rPr>
        <w:t xml:space="preserve">Відповідно до листа департаменту забезпечення ресурсних платежів Сумської міської ради від </w:t>
      </w:r>
      <w:r>
        <w:rPr>
          <w:lang w:val="uk-UA"/>
        </w:rPr>
        <w:t>03</w:t>
      </w:r>
      <w:r w:rsidRPr="00BE7A7E">
        <w:rPr>
          <w:lang w:val="uk-UA"/>
        </w:rPr>
        <w:t>.</w:t>
      </w:r>
      <w:r>
        <w:rPr>
          <w:lang w:val="uk-UA"/>
        </w:rPr>
        <w:t>1</w:t>
      </w:r>
      <w:r w:rsidRPr="00BE7A7E">
        <w:rPr>
          <w:lang w:val="uk-UA"/>
        </w:rPr>
        <w:t>0.2017 № 06.01-18/5</w:t>
      </w:r>
      <w:r>
        <w:rPr>
          <w:lang w:val="uk-UA"/>
        </w:rPr>
        <w:t>994</w:t>
      </w:r>
      <w:r w:rsidRPr="00BE7A7E">
        <w:rPr>
          <w:lang w:val="uk-UA"/>
        </w:rPr>
        <w:t xml:space="preserve"> неможливо реалізувати згаданий проект</w:t>
      </w:r>
      <w:r>
        <w:rPr>
          <w:lang w:val="uk-UA"/>
        </w:rPr>
        <w:t>, оскільки н</w:t>
      </w:r>
      <w:r w:rsidR="004B1B4D" w:rsidRPr="00594133">
        <w:rPr>
          <w:iCs/>
          <w:lang w:val="uk-UA"/>
        </w:rPr>
        <w:t>е визначене точно місце розташування. Поряд розташована середня загальноосвітня школа №29. Земельна ділянка перебуває у даного закладу в користуванні, відведення земельної ділянки можливе лише за згодою користувача.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206"/>
        <w:gridCol w:w="1190"/>
        <w:gridCol w:w="1251"/>
        <w:gridCol w:w="1206"/>
        <w:gridCol w:w="1190"/>
        <w:gridCol w:w="1251"/>
      </w:tblGrid>
      <w:tr w:rsidR="004E013D" w:rsidRPr="008752B6" w:rsidTr="006E3037">
        <w:trPr>
          <w:trHeight w:val="419"/>
        </w:trPr>
        <w:tc>
          <w:tcPr>
            <w:tcW w:w="2560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F51608" w:rsidRPr="008752B6" w:rsidTr="006E3037">
        <w:tc>
          <w:tcPr>
            <w:tcW w:w="2560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0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DA6688" w:rsidRDefault="004B1B4D" w:rsidP="00594133">
            <w:r>
              <w:t>Спортивний комплекс «</w:t>
            </w:r>
            <w:proofErr w:type="spellStart"/>
            <w:r>
              <w:t>Воркаут</w:t>
            </w:r>
            <w:proofErr w:type="spellEnd"/>
            <w:r>
              <w:t xml:space="preserve">» </w:t>
            </w:r>
            <w:r>
              <w:rPr>
                <w:lang w:val="de-DE"/>
              </w:rPr>
              <w:t>S</w:t>
            </w:r>
            <w:r>
              <w:t>831.9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50900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50900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50900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50900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8A5863" w:rsidRDefault="004B1B4D" w:rsidP="00594133">
            <w:proofErr w:type="spellStart"/>
            <w:r>
              <w:t>Брусья-пресс</w:t>
            </w:r>
            <w:proofErr w:type="spellEnd"/>
            <w:r>
              <w:rPr>
                <w:lang w:val="de-DE"/>
              </w:rPr>
              <w:t>S</w:t>
            </w:r>
            <w:r>
              <w:t>834.4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6000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6000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6000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DA6688" w:rsidRDefault="004B1B4D" w:rsidP="00594133">
            <w:r>
              <w:t xml:space="preserve">Жим </w:t>
            </w:r>
            <w:proofErr w:type="spellStart"/>
            <w:r>
              <w:t>сидя</w:t>
            </w:r>
            <w:proofErr w:type="spellEnd"/>
            <w:r>
              <w:t xml:space="preserve"> від груді </w:t>
            </w:r>
            <w:r>
              <w:rPr>
                <w:lang w:val="en-US"/>
              </w:rPr>
              <w:t>SL</w:t>
            </w:r>
            <w:r w:rsidRPr="00DA6688">
              <w:t>101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14000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14000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14000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14000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DA6688" w:rsidRDefault="004B1B4D" w:rsidP="00594133">
            <w:r>
              <w:t xml:space="preserve">Жим </w:t>
            </w:r>
            <w:proofErr w:type="spellStart"/>
            <w:r>
              <w:t>сидя</w:t>
            </w:r>
            <w:proofErr w:type="spellEnd"/>
            <w:r>
              <w:t xml:space="preserve"> від груді-тяга зверху </w:t>
            </w:r>
            <w:r>
              <w:rPr>
                <w:lang w:val="en-US"/>
              </w:rPr>
              <w:t>SL</w:t>
            </w:r>
            <w:r w:rsidRPr="00DA6688">
              <w:t>101</w:t>
            </w:r>
            <w:r>
              <w:t>.1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12900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12900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12900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12900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EE744B" w:rsidRDefault="004B1B4D" w:rsidP="00594133">
            <w:r>
              <w:t xml:space="preserve">Тренажер для сідничних </w:t>
            </w:r>
            <w:proofErr w:type="spellStart"/>
            <w:r>
              <w:t>приводящіх</w:t>
            </w:r>
            <w:proofErr w:type="spellEnd"/>
            <w:r>
              <w:t xml:space="preserve"> і </w:t>
            </w:r>
            <w:proofErr w:type="spellStart"/>
            <w:r>
              <w:t>відводящіх</w:t>
            </w:r>
            <w:proofErr w:type="spellEnd"/>
            <w:r>
              <w:t xml:space="preserve"> м</w:t>
            </w:r>
            <w:r w:rsidRPr="00EE744B">
              <w:t>’</w:t>
            </w:r>
            <w:r>
              <w:t xml:space="preserve">язів </w:t>
            </w:r>
            <w:proofErr w:type="spellStart"/>
            <w:r>
              <w:t>стегна</w:t>
            </w:r>
            <w:r w:rsidRPr="00EE744B">
              <w:t>-</w:t>
            </w:r>
            <w:r>
              <w:t>твістер</w:t>
            </w:r>
            <w:proofErr w:type="spellEnd"/>
            <w:r>
              <w:rPr>
                <w:lang w:val="en-US"/>
              </w:rPr>
              <w:t>SL</w:t>
            </w:r>
            <w:r>
              <w:t>104.1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6100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8A5863" w:rsidRDefault="004B1B4D" w:rsidP="00594133">
            <w:proofErr w:type="spellStart"/>
            <w:r>
              <w:t>Орбітрек</w:t>
            </w:r>
            <w:proofErr w:type="spellEnd"/>
            <w:r>
              <w:rPr>
                <w:lang w:val="en-US"/>
              </w:rPr>
              <w:t>SL</w:t>
            </w:r>
            <w:r>
              <w:t>116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7600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7600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7600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7600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8A5863" w:rsidRDefault="004B1B4D" w:rsidP="00594133">
            <w:r>
              <w:t xml:space="preserve">Батерфляй </w:t>
            </w:r>
            <w:r>
              <w:rPr>
                <w:lang w:val="en-US"/>
              </w:rPr>
              <w:t>SL</w:t>
            </w:r>
            <w:r>
              <w:t>128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15100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15100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15100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15100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Default="004B1B4D" w:rsidP="00594133">
            <w:r>
              <w:t>Тренажер для м</w:t>
            </w:r>
            <w:r w:rsidRPr="00EE744B">
              <w:t>’</w:t>
            </w:r>
            <w:r>
              <w:t>язів біцепса</w:t>
            </w:r>
            <w:r>
              <w:rPr>
                <w:lang w:val="en-US"/>
              </w:rPr>
              <w:t>SL</w:t>
            </w:r>
            <w:r>
              <w:t>129</w:t>
            </w:r>
          </w:p>
        </w:tc>
        <w:tc>
          <w:tcPr>
            <w:tcW w:w="1206" w:type="dxa"/>
            <w:shd w:val="clear" w:color="auto" w:fill="auto"/>
          </w:tcPr>
          <w:p w:rsidR="004B1B4D" w:rsidRPr="00EE744B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11600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11600</w:t>
            </w:r>
          </w:p>
        </w:tc>
        <w:tc>
          <w:tcPr>
            <w:tcW w:w="1206" w:type="dxa"/>
            <w:shd w:val="clear" w:color="auto" w:fill="auto"/>
          </w:tcPr>
          <w:p w:rsidR="004B1B4D" w:rsidRPr="00EE744B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11600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11600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t>Тренажер для м</w:t>
            </w:r>
            <w:r w:rsidRPr="00EE744B">
              <w:t>’</w:t>
            </w:r>
            <w:r>
              <w:t>язів стегна</w:t>
            </w:r>
            <w:r w:rsidRPr="00EE744B">
              <w:rPr>
                <w:lang w:val="en-US"/>
              </w:rPr>
              <w:t>SL</w:t>
            </w:r>
            <w:r>
              <w:t>242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6100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t xml:space="preserve">Тренажер для преса анатомічний </w:t>
            </w:r>
            <w:r w:rsidRPr="00EE744B">
              <w:rPr>
                <w:lang w:val="en-US"/>
              </w:rPr>
              <w:t>SL</w:t>
            </w:r>
            <w:r>
              <w:t>106.1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6500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6500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6500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6500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E56FCC" w:rsidRDefault="004B1B4D" w:rsidP="00594133">
            <w:r>
              <w:t>Тренажер важільна тяга</w:t>
            </w:r>
            <w:r w:rsidRPr="00EE744B">
              <w:rPr>
                <w:lang w:val="en-US"/>
              </w:rPr>
              <w:t xml:space="preserve"> SL</w:t>
            </w:r>
            <w:r>
              <w:t>131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10000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10000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10000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10000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t xml:space="preserve">Тренажер «Балочна </w:t>
            </w:r>
            <w:r>
              <w:lastRenderedPageBreak/>
              <w:t xml:space="preserve">рама» </w:t>
            </w:r>
            <w:r w:rsidRPr="00EE744B">
              <w:rPr>
                <w:lang w:val="en-US"/>
              </w:rPr>
              <w:t>SL</w:t>
            </w:r>
            <w:r>
              <w:t>137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44400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44400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44400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44400</w:t>
            </w:r>
          </w:p>
        </w:tc>
      </w:tr>
      <w:tr w:rsidR="004B1B4D" w:rsidRPr="00C07BC6" w:rsidTr="00C66821">
        <w:trPr>
          <w:trHeight w:val="450"/>
        </w:trPr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lastRenderedPageBreak/>
              <w:t>Плитка резинова 500*500*30 ПГ3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196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575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112700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196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575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112700</w:t>
            </w:r>
          </w:p>
        </w:tc>
      </w:tr>
      <w:tr w:rsidR="00C66821" w:rsidRPr="00C07BC6" w:rsidTr="006E3037">
        <w:trPr>
          <w:trHeight w:val="105"/>
        </w:trPr>
        <w:tc>
          <w:tcPr>
            <w:tcW w:w="2560" w:type="dxa"/>
            <w:shd w:val="clear" w:color="auto" w:fill="auto"/>
          </w:tcPr>
          <w:p w:rsidR="00C66821" w:rsidRDefault="00C66821" w:rsidP="00594133">
            <w:r>
              <w:t>Влаштування основи під гумову плитку</w:t>
            </w:r>
          </w:p>
        </w:tc>
        <w:tc>
          <w:tcPr>
            <w:tcW w:w="1206" w:type="dxa"/>
            <w:shd w:val="clear" w:color="auto" w:fill="auto"/>
          </w:tcPr>
          <w:p w:rsidR="00C66821" w:rsidRDefault="00C66821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C66821" w:rsidRDefault="00C66821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C66821" w:rsidRDefault="00C66821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66821" w:rsidRDefault="00C66821" w:rsidP="00F34E12">
            <w:pPr>
              <w:jc w:val="center"/>
            </w:pPr>
            <w:r>
              <w:t>196</w:t>
            </w:r>
          </w:p>
        </w:tc>
        <w:tc>
          <w:tcPr>
            <w:tcW w:w="1190" w:type="dxa"/>
            <w:shd w:val="clear" w:color="auto" w:fill="auto"/>
          </w:tcPr>
          <w:p w:rsidR="00C66821" w:rsidRDefault="00C66821" w:rsidP="00F34E12">
            <w:pPr>
              <w:jc w:val="center"/>
            </w:pPr>
            <w:r>
              <w:t>600</w:t>
            </w:r>
          </w:p>
        </w:tc>
        <w:tc>
          <w:tcPr>
            <w:tcW w:w="1251" w:type="dxa"/>
            <w:shd w:val="clear" w:color="auto" w:fill="auto"/>
          </w:tcPr>
          <w:p w:rsidR="00C66821" w:rsidRDefault="00C66821" w:rsidP="00F34E12">
            <w:pPr>
              <w:jc w:val="center"/>
            </w:pPr>
            <w:r>
              <w:t>117600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A529A8" w:rsidRDefault="004B1B4D" w:rsidP="00594133">
            <w:r>
              <w:t xml:space="preserve">Лавки </w:t>
            </w:r>
            <w:r w:rsidRPr="00EE744B">
              <w:rPr>
                <w:lang w:val="en-US"/>
              </w:rPr>
              <w:t>S</w:t>
            </w:r>
            <w:r>
              <w:t xml:space="preserve"> 721.1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3600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25200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3600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25200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A529A8" w:rsidRDefault="004B1B4D" w:rsidP="00594133">
            <w:r>
              <w:t xml:space="preserve">Урни </w:t>
            </w:r>
            <w:r w:rsidRPr="00EE744B">
              <w:rPr>
                <w:lang w:val="en-US"/>
              </w:rPr>
              <w:t>S</w:t>
            </w:r>
            <w:r>
              <w:t xml:space="preserve"> 742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990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6930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990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6930</w:t>
            </w:r>
          </w:p>
          <w:p w:rsidR="00520058" w:rsidRDefault="00520058" w:rsidP="00F34E12">
            <w:pPr>
              <w:jc w:val="center"/>
            </w:pP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 w:rsidRPr="001348FF">
              <w:t xml:space="preserve">Монтаж </w:t>
            </w:r>
            <w:r>
              <w:t>і демонтаж</w:t>
            </w:r>
          </w:p>
        </w:tc>
        <w:tc>
          <w:tcPr>
            <w:tcW w:w="1206" w:type="dxa"/>
            <w:shd w:val="clear" w:color="auto" w:fill="auto"/>
          </w:tcPr>
          <w:p w:rsidR="004B1B4D" w:rsidRPr="001348FF" w:rsidRDefault="004B1B4D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  <w:r>
              <w:t>15000</w:t>
            </w:r>
          </w:p>
        </w:tc>
        <w:tc>
          <w:tcPr>
            <w:tcW w:w="1206" w:type="dxa"/>
            <w:shd w:val="clear" w:color="auto" w:fill="auto"/>
          </w:tcPr>
          <w:p w:rsidR="004B1B4D" w:rsidRPr="001348FF" w:rsidRDefault="004B1B4D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4B1B4D" w:rsidRPr="00C07BC6" w:rsidRDefault="00C66821" w:rsidP="00F34E12">
            <w:pPr>
              <w:jc w:val="center"/>
              <w:rPr>
                <w:lang w:eastAsia="uk-UA"/>
              </w:rPr>
            </w:pPr>
            <w:r>
              <w:t>50</w:t>
            </w:r>
            <w:r w:rsidR="004B1B4D">
              <w:t>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t>Доставка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4B1B4D" w:rsidRPr="001348FF" w:rsidRDefault="004B1B4D" w:rsidP="00F34E12">
            <w:pPr>
              <w:jc w:val="center"/>
            </w:pPr>
            <w:r>
              <w:t>7</w:t>
            </w:r>
            <w:r w:rsidRPr="001348FF">
              <w:t>000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4B1B4D" w:rsidRPr="001348FF" w:rsidRDefault="004B1B4D" w:rsidP="00F34E12">
            <w:pPr>
              <w:jc w:val="center"/>
            </w:pPr>
            <w:r>
              <w:t>7</w:t>
            </w:r>
            <w:r w:rsidRPr="001348FF">
              <w:t>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t xml:space="preserve">Технагляд 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4B1B4D" w:rsidRPr="001348FF" w:rsidRDefault="004B1B4D" w:rsidP="00F34E12">
            <w:pPr>
              <w:jc w:val="center"/>
            </w:pPr>
            <w:r>
              <w:t>4000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4B1B4D" w:rsidRPr="001348FF" w:rsidRDefault="00C66821" w:rsidP="00F34E12">
            <w:pPr>
              <w:jc w:val="center"/>
            </w:pPr>
            <w:r>
              <w:t>100</w:t>
            </w:r>
            <w:r w:rsidR="004B1B4D">
              <w:t>00</w:t>
            </w:r>
          </w:p>
        </w:tc>
      </w:tr>
      <w:tr w:rsidR="004B1B4D" w:rsidRPr="00C07BC6" w:rsidTr="00290ECB">
        <w:trPr>
          <w:trHeight w:val="135"/>
        </w:trPr>
        <w:tc>
          <w:tcPr>
            <w:tcW w:w="2560" w:type="dxa"/>
            <w:shd w:val="clear" w:color="auto" w:fill="auto"/>
          </w:tcPr>
          <w:p w:rsidR="004B1B4D" w:rsidRDefault="00594133" w:rsidP="00594133">
            <w:r>
              <w:t>Виготовлення проектно-кошторисної документації та проведення її експертизи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5000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4B1B4D" w:rsidRDefault="007457DD" w:rsidP="00F34E12">
            <w:pPr>
              <w:jc w:val="center"/>
            </w:pPr>
            <w:r>
              <w:t>20000</w:t>
            </w:r>
          </w:p>
        </w:tc>
      </w:tr>
      <w:tr w:rsidR="00290ECB" w:rsidRPr="00C07BC6" w:rsidTr="006E3037">
        <w:trPr>
          <w:trHeight w:val="135"/>
        </w:trPr>
        <w:tc>
          <w:tcPr>
            <w:tcW w:w="2560" w:type="dxa"/>
            <w:shd w:val="clear" w:color="auto" w:fill="auto"/>
          </w:tcPr>
          <w:p w:rsidR="00290ECB" w:rsidRDefault="00290ECB" w:rsidP="00594133">
            <w:r>
              <w:t>Підготовчі роботи</w:t>
            </w:r>
          </w:p>
        </w:tc>
        <w:tc>
          <w:tcPr>
            <w:tcW w:w="1206" w:type="dxa"/>
            <w:shd w:val="clear" w:color="auto" w:fill="auto"/>
          </w:tcPr>
          <w:p w:rsidR="00290ECB" w:rsidRPr="00C07BC6" w:rsidRDefault="00290ECB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290ECB" w:rsidRPr="00C07BC6" w:rsidRDefault="00290ECB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290ECB" w:rsidRDefault="00290ECB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290ECB" w:rsidRPr="00C07BC6" w:rsidRDefault="00290ECB" w:rsidP="00F34E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290ECB" w:rsidRPr="00C07BC6" w:rsidRDefault="00290ECB" w:rsidP="00F34E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290ECB" w:rsidRDefault="00290ECB" w:rsidP="00F34E12">
            <w:pPr>
              <w:jc w:val="center"/>
            </w:pPr>
            <w:r>
              <w:t>10000</w:t>
            </w:r>
          </w:p>
        </w:tc>
      </w:tr>
      <w:tr w:rsidR="00F51608" w:rsidRPr="00C07BC6" w:rsidTr="006E3037">
        <w:tc>
          <w:tcPr>
            <w:tcW w:w="2560" w:type="dxa"/>
            <w:shd w:val="clear" w:color="auto" w:fill="auto"/>
          </w:tcPr>
          <w:p w:rsidR="00C66821" w:rsidRDefault="00F51608" w:rsidP="00F03912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вишукувальні роботи; кошторисний прибуток; адміністративні витрати; </w:t>
            </w:r>
          </w:p>
          <w:p w:rsidR="00F51608" w:rsidRPr="00C07BC6" w:rsidRDefault="00F51608" w:rsidP="008D1AA1">
            <w:pPr>
              <w:rPr>
                <w:lang w:eastAsia="uk-UA"/>
              </w:rPr>
            </w:pPr>
            <w:r>
              <w:rPr>
                <w:lang w:eastAsia="uk-UA"/>
              </w:rPr>
              <w:t>авторський нагляд</w:t>
            </w: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Default="00C66821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</w:t>
            </w:r>
            <w:r w:rsidR="007457DD">
              <w:rPr>
                <w:rFonts w:eastAsia="Arial Unicode MS"/>
                <w:lang w:val="uk-UA"/>
              </w:rPr>
              <w:t>000</w:t>
            </w:r>
          </w:p>
          <w:p w:rsidR="00C66821" w:rsidRDefault="008D1AA1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13</w:t>
            </w:r>
            <w:r w:rsidR="00C66821">
              <w:rPr>
                <w:rFonts w:eastAsia="Arial Unicode MS"/>
                <w:lang w:val="uk-UA"/>
              </w:rPr>
              <w:t>000</w:t>
            </w:r>
          </w:p>
          <w:p w:rsidR="00594133" w:rsidRDefault="00594133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  <w:p w:rsidR="00C66821" w:rsidRDefault="008D1AA1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6</w:t>
            </w:r>
            <w:r w:rsidR="00C66821">
              <w:rPr>
                <w:rFonts w:eastAsia="Arial Unicode MS"/>
                <w:lang w:val="uk-UA"/>
              </w:rPr>
              <w:t>000</w:t>
            </w:r>
          </w:p>
          <w:p w:rsidR="008D1AA1" w:rsidRDefault="008D1AA1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  <w:p w:rsidR="00C66821" w:rsidRPr="00C07BC6" w:rsidRDefault="008D1AA1" w:rsidP="00594133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</w:t>
            </w:r>
          </w:p>
        </w:tc>
      </w:tr>
      <w:tr w:rsidR="00F51608" w:rsidRPr="00C07BC6" w:rsidTr="006E3037">
        <w:tc>
          <w:tcPr>
            <w:tcW w:w="2560" w:type="dxa"/>
            <w:shd w:val="clear" w:color="auto" w:fill="auto"/>
          </w:tcPr>
          <w:p w:rsidR="00F51608" w:rsidRPr="00C07BC6" w:rsidRDefault="00F51608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>Непередбачені витрати</w:t>
            </w: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7457DD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17000</w:t>
            </w:r>
          </w:p>
        </w:tc>
      </w:tr>
      <w:tr w:rsidR="00F51608" w:rsidRPr="00C07BC6" w:rsidTr="006E3037">
        <w:tc>
          <w:tcPr>
            <w:tcW w:w="256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Інфляція</w:t>
            </w: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594133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60</w:t>
            </w:r>
            <w:r w:rsidR="007457DD">
              <w:rPr>
                <w:rFonts w:eastAsia="Arial Unicode MS"/>
                <w:lang w:val="uk-UA"/>
              </w:rPr>
              <w:t>000</w:t>
            </w:r>
          </w:p>
        </w:tc>
      </w:tr>
      <w:tr w:rsidR="00F51608" w:rsidRPr="00F51608" w:rsidTr="006E3037">
        <w:tc>
          <w:tcPr>
            <w:tcW w:w="256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F51608">
              <w:rPr>
                <w:rFonts w:eastAsia="Arial Unicode MS"/>
                <w:b/>
                <w:lang w:val="uk-UA"/>
              </w:rPr>
              <w:t>Всього</w:t>
            </w:r>
          </w:p>
        </w:tc>
        <w:tc>
          <w:tcPr>
            <w:tcW w:w="1206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F51608" w:rsidRDefault="004B1B4D" w:rsidP="00F51608">
            <w:pPr>
              <w:pStyle w:val="Default"/>
              <w:ind w:right="-13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367030,0</w:t>
            </w:r>
          </w:p>
        </w:tc>
        <w:tc>
          <w:tcPr>
            <w:tcW w:w="1206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F51608" w:rsidRDefault="008D1AA1" w:rsidP="00594133">
            <w:pPr>
              <w:pStyle w:val="Default"/>
              <w:ind w:right="-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6</w:t>
            </w:r>
            <w:r w:rsidR="00594133">
              <w:rPr>
                <w:rFonts w:eastAsia="Arial Unicode MS"/>
                <w:b/>
                <w:lang w:val="uk-UA"/>
              </w:rPr>
              <w:t>546</w:t>
            </w:r>
            <w:r>
              <w:rPr>
                <w:rFonts w:eastAsia="Arial Unicode MS"/>
                <w:b/>
                <w:lang w:val="uk-UA"/>
              </w:rPr>
              <w:t>30</w:t>
            </w:r>
            <w:r w:rsidR="004B1B4D">
              <w:rPr>
                <w:rFonts w:eastAsia="Arial Unicode MS"/>
                <w:b/>
                <w:lang w:val="uk-UA"/>
              </w:rPr>
              <w:t>,0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4B1B4D">
        <w:t>367030,00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8D1AA1">
        <w:t>6</w:t>
      </w:r>
      <w:r w:rsidR="00594133">
        <w:t>54630</w:t>
      </w:r>
      <w:r w:rsidR="004B1B4D">
        <w:t xml:space="preserve">,00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Default="00B5131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 xml:space="preserve">Орієнтовна вартість будівництва складає </w:t>
      </w:r>
      <w:r w:rsidR="008D1AA1">
        <w:t>6</w:t>
      </w:r>
      <w:r w:rsidR="00594133">
        <w:t>54630</w:t>
      </w:r>
      <w:r w:rsidR="004B1B4D">
        <w:t xml:space="preserve">,00 </w:t>
      </w:r>
      <w:r>
        <w:t xml:space="preserve">грн, а остаточна вартість визначається робочим проектом. При розрахунку вартості проекту автором не враховано витрати на </w:t>
      </w:r>
      <w:r w:rsidR="00594133">
        <w:rPr>
          <w:lang w:eastAsia="uk-UA"/>
        </w:rPr>
        <w:t>підготовчі роботи,</w:t>
      </w:r>
      <w:r>
        <w:t xml:space="preserve"> </w:t>
      </w:r>
      <w:r>
        <w:rPr>
          <w:lang w:eastAsia="uk-UA"/>
        </w:rPr>
        <w:t>здійснення</w:t>
      </w:r>
      <w:r w:rsidR="004B1B4D">
        <w:rPr>
          <w:lang w:eastAsia="uk-UA"/>
        </w:rPr>
        <w:t xml:space="preserve"> авторського нагляду</w:t>
      </w:r>
      <w:r w:rsidR="00594133">
        <w:rPr>
          <w:lang w:eastAsia="uk-UA"/>
        </w:rPr>
        <w:t>,</w:t>
      </w:r>
      <w:r>
        <w:rPr>
          <w:lang w:eastAsia="uk-UA"/>
        </w:rPr>
        <w:t xml:space="preserve"> вишукувальні роботи</w:t>
      </w:r>
      <w:r w:rsidR="00594133">
        <w:rPr>
          <w:lang w:eastAsia="uk-UA"/>
        </w:rPr>
        <w:t>,</w:t>
      </w:r>
      <w:r>
        <w:rPr>
          <w:lang w:eastAsia="uk-UA"/>
        </w:rPr>
        <w:t xml:space="preserve"> кошторисний прибуток</w:t>
      </w:r>
      <w:r w:rsidR="00594133">
        <w:rPr>
          <w:lang w:eastAsia="uk-UA"/>
        </w:rPr>
        <w:t>,</w:t>
      </w:r>
      <w:r>
        <w:rPr>
          <w:lang w:eastAsia="uk-UA"/>
        </w:rPr>
        <w:t xml:space="preserve"> адміністративні витрати</w:t>
      </w:r>
      <w:r w:rsidR="00594133">
        <w:rPr>
          <w:lang w:eastAsia="uk-UA"/>
        </w:rPr>
        <w:t>,</w:t>
      </w:r>
      <w:r>
        <w:rPr>
          <w:lang w:eastAsia="uk-UA"/>
        </w:rPr>
        <w:t xml:space="preserve"> </w:t>
      </w:r>
      <w:r w:rsidR="00594133">
        <w:rPr>
          <w:lang w:eastAsia="uk-UA"/>
        </w:rPr>
        <w:t>кошти на покриття інфляційних ризиків, в</w:t>
      </w:r>
      <w:r w:rsidR="00594133">
        <w:t>лаштування основи під гумову плитку</w:t>
      </w:r>
      <w:r>
        <w:t xml:space="preserve">. </w:t>
      </w:r>
    </w:p>
    <w:p w:rsidR="00197375" w:rsidRPr="008752B6" w:rsidRDefault="00197375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 xml:space="preserve"> 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4B1B4D">
        <w:rPr>
          <w:b/>
          <w:u w:val="single"/>
        </w:rPr>
        <w:t>негативно</w:t>
      </w:r>
      <w:r w:rsidRPr="008752B6">
        <w:t xml:space="preserve"> (зазначити чіткі причини відмови)</w:t>
      </w:r>
    </w:p>
    <w:p w:rsidR="00594133" w:rsidRPr="008752B6" w:rsidRDefault="0059413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BE7A7E">
        <w:t xml:space="preserve">Відповідно до листа департаменту забезпечення ресурсних платежів Сумської міської ради від </w:t>
      </w:r>
      <w:r>
        <w:t>03</w:t>
      </w:r>
      <w:r w:rsidRPr="00BE7A7E">
        <w:t>.</w:t>
      </w:r>
      <w:r>
        <w:t>1</w:t>
      </w:r>
      <w:r w:rsidRPr="00BE7A7E">
        <w:t>0.2017 № 06.01-18/5</w:t>
      </w:r>
      <w:r>
        <w:t>994</w:t>
      </w:r>
      <w:r w:rsidRPr="00BE7A7E">
        <w:t xml:space="preserve"> неможливо реалізувати згаданий проект</w:t>
      </w:r>
      <w:r>
        <w:t>, оскільки н</w:t>
      </w:r>
      <w:r w:rsidRPr="00594133">
        <w:rPr>
          <w:iCs/>
        </w:rPr>
        <w:t xml:space="preserve">е визначене точно місце розташування. Поряд розташована середня загальноосвітня школа </w:t>
      </w:r>
      <w:r w:rsidRPr="00594133">
        <w:rPr>
          <w:iCs/>
        </w:rPr>
        <w:lastRenderedPageBreak/>
        <w:t>№29. Земельна ділянка перебуває у даного закладу в користуванні, відведення земельної ділянки можливе лише за згодою користувача.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4B1B4D">
        <w:rPr>
          <w:b/>
          <w:u w:val="single"/>
        </w:rPr>
        <w:t>негативний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594133" w:rsidRDefault="00594133" w:rsidP="0059413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7457DD" w:rsidRPr="00F05FA7" w:rsidRDefault="00594133" w:rsidP="0059413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color w:val="000000"/>
        </w:rPr>
      </w:pPr>
      <w:r>
        <w:t>О</w:t>
      </w:r>
      <w:r w:rsidRPr="00163547">
        <w:t xml:space="preserve">рієнтовний обсяг витрат на реалізацію проекту складає </w:t>
      </w:r>
      <w:r>
        <w:t>654630,00</w:t>
      </w:r>
      <w:r w:rsidRPr="00163547">
        <w:t xml:space="preserve"> грн, що на </w:t>
      </w:r>
      <w:r>
        <w:t>154630,00</w:t>
      </w:r>
      <w:r w:rsidRPr="00163547">
        <w:t xml:space="preserve"> грн перевищує суму визначену абзацом 4 пункту 3 розділу 1 «Загальні положення» Положення про громадський (</w:t>
      </w:r>
      <w:proofErr w:type="spellStart"/>
      <w:r w:rsidRPr="00163547">
        <w:t>партиципаторний</w:t>
      </w:r>
      <w:proofErr w:type="spellEnd"/>
      <w:r w:rsidRPr="00163547">
        <w:t>) бюджет м. Суми,  затвердженого рішенням ХХ</w:t>
      </w:r>
      <w:r w:rsidRPr="00163547">
        <w:rPr>
          <w:lang w:val="en-US"/>
        </w:rPr>
        <w:t>V</w:t>
      </w:r>
      <w:r w:rsidRPr="00163547">
        <w:t xml:space="preserve">ІІ сесії Сумської міської ради </w:t>
      </w:r>
      <w:r w:rsidRPr="00163547">
        <w:rPr>
          <w:lang w:val="en-US"/>
        </w:rPr>
        <w:t>V</w:t>
      </w:r>
      <w:r w:rsidRPr="00163547">
        <w:t xml:space="preserve">ІІ скликання від 14.06.2017 № 2209-МР </w:t>
      </w:r>
      <w:r>
        <w:t>«</w:t>
      </w:r>
      <w:r w:rsidRPr="00163547">
        <w:rPr>
          <w:rFonts w:ascii="inherit" w:hAnsi="inherit"/>
          <w:iCs/>
          <w:bdr w:val="none" w:sz="0" w:space="0" w:color="auto" w:frame="1"/>
        </w:rPr>
        <w:t xml:space="preserve">Про </w:t>
      </w:r>
      <w:r w:rsidRPr="00163547">
        <w:rPr>
          <w:iCs/>
          <w:bdr w:val="none" w:sz="0" w:space="0" w:color="auto" w:frame="1"/>
        </w:rPr>
        <w:t>внесення змін до рішення Сумської міської ради від 30 березня 2016 року № 504 – МР «Про запровадження громадського (</w:t>
      </w:r>
      <w:proofErr w:type="spellStart"/>
      <w:r w:rsidRPr="00163547">
        <w:rPr>
          <w:iCs/>
          <w:bdr w:val="none" w:sz="0" w:space="0" w:color="auto" w:frame="1"/>
        </w:rPr>
        <w:t>партиципаторного</w:t>
      </w:r>
      <w:proofErr w:type="spellEnd"/>
      <w:r w:rsidRPr="00163547">
        <w:rPr>
          <w:iCs/>
          <w:bdr w:val="none" w:sz="0" w:space="0" w:color="auto" w:frame="1"/>
        </w:rPr>
        <w:t>) бюджету м. Суми»</w:t>
      </w:r>
      <w:r>
        <w:rPr>
          <w:iCs/>
          <w:bdr w:val="none" w:sz="0" w:space="0" w:color="auto" w:frame="1"/>
        </w:rPr>
        <w:t xml:space="preserve"> </w:t>
      </w:r>
      <w:r w:rsidRPr="00163547">
        <w:rPr>
          <w:iCs/>
          <w:bdr w:val="none" w:sz="0" w:space="0" w:color="auto" w:frame="1"/>
        </w:rPr>
        <w:t>(зі змінами)</w:t>
      </w:r>
      <w:r>
        <w:rPr>
          <w:iCs/>
          <w:bdr w:val="none" w:sz="0" w:space="0" w:color="auto" w:frame="1"/>
        </w:rPr>
        <w:t>»</w:t>
      </w:r>
      <w:r w:rsidRPr="00163547">
        <w:t>.</w:t>
      </w:r>
    </w:p>
    <w:p w:rsidR="00570541" w:rsidRDefault="00570541" w:rsidP="00570541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Шилов В.В., 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>. УБ та ДГ</w:t>
      </w:r>
    </w:p>
    <w:p w:rsidR="00570541" w:rsidRDefault="00570541" w:rsidP="00570541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Pr="00570541" w:rsidRDefault="005F30A5" w:rsidP="00570541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lang w:val="ru-RU"/>
        </w:rPr>
      </w:pPr>
      <w:bookmarkStart w:id="0" w:name="_GoBack"/>
      <w:bookmarkEnd w:id="0"/>
    </w:p>
    <w:sectPr w:rsidR="005F30A5" w:rsidRPr="00570541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41" w:rsidRDefault="00570541" w:rsidP="00570541">
      <w:r>
        <w:separator/>
      </w:r>
    </w:p>
  </w:endnote>
  <w:endnote w:type="continuationSeparator" w:id="0">
    <w:p w:rsidR="00570541" w:rsidRDefault="00570541" w:rsidP="0057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41" w:rsidRDefault="00570541" w:rsidP="00570541">
      <w:r>
        <w:separator/>
      </w:r>
    </w:p>
  </w:footnote>
  <w:footnote w:type="continuationSeparator" w:id="0">
    <w:p w:rsidR="00570541" w:rsidRDefault="00570541" w:rsidP="0057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3D"/>
    <w:rsid w:val="00197375"/>
    <w:rsid w:val="00267E4C"/>
    <w:rsid w:val="00290ECB"/>
    <w:rsid w:val="00295322"/>
    <w:rsid w:val="002B7AC2"/>
    <w:rsid w:val="002D45B8"/>
    <w:rsid w:val="003616AA"/>
    <w:rsid w:val="00457E81"/>
    <w:rsid w:val="004B1B4D"/>
    <w:rsid w:val="004D196D"/>
    <w:rsid w:val="004E013D"/>
    <w:rsid w:val="00520058"/>
    <w:rsid w:val="00543240"/>
    <w:rsid w:val="00570541"/>
    <w:rsid w:val="00594133"/>
    <w:rsid w:val="005E282D"/>
    <w:rsid w:val="005F30A5"/>
    <w:rsid w:val="00617C6D"/>
    <w:rsid w:val="006A42E6"/>
    <w:rsid w:val="006E3037"/>
    <w:rsid w:val="007457DD"/>
    <w:rsid w:val="007C3628"/>
    <w:rsid w:val="008D1AA1"/>
    <w:rsid w:val="008F2E4B"/>
    <w:rsid w:val="009573A3"/>
    <w:rsid w:val="00963D6E"/>
    <w:rsid w:val="00B5131D"/>
    <w:rsid w:val="00BC1FCD"/>
    <w:rsid w:val="00BE7A7E"/>
    <w:rsid w:val="00C07BC6"/>
    <w:rsid w:val="00C66821"/>
    <w:rsid w:val="00D24CF8"/>
    <w:rsid w:val="00F51608"/>
    <w:rsid w:val="00FE62E3"/>
    <w:rsid w:val="00F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uiPriority w:val="39"/>
    <w:rsid w:val="006E3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05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0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Andy</cp:lastModifiedBy>
  <cp:revision>7</cp:revision>
  <dcterms:created xsi:type="dcterms:W3CDTF">2017-10-30T12:53:00Z</dcterms:created>
  <dcterms:modified xsi:type="dcterms:W3CDTF">2017-10-31T22:53:00Z</dcterms:modified>
</cp:coreProperties>
</file>