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 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8035D6">
        <w:rPr>
          <w:b/>
          <w:bCs/>
          <w:sz w:val="28"/>
          <w:szCs w:val="28"/>
          <w:lang w:val="uk-UA"/>
        </w:rPr>
        <w:t>Стадіон для всіх»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>
        <w:rPr>
          <w:bCs/>
          <w:lang w:val="uk-UA"/>
        </w:rPr>
        <w:t>У</w:t>
      </w:r>
      <w:r w:rsidR="00A47E64" w:rsidRPr="00A47E64">
        <w:rPr>
          <w:bCs/>
          <w:lang w:val="uk-UA"/>
        </w:rPr>
        <w:t>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8035D6">
        <w:rPr>
          <w:lang w:val="uk-UA"/>
        </w:rPr>
        <w:t>28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4E013D">
      <w:pPr>
        <w:pStyle w:val="Default"/>
        <w:ind w:right="340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4E013D">
      <w:pPr>
        <w:pStyle w:val="Default"/>
        <w:ind w:right="340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91"/>
        <w:gridCol w:w="1273"/>
        <w:gridCol w:w="1422"/>
        <w:gridCol w:w="1140"/>
        <w:gridCol w:w="1271"/>
        <w:gridCol w:w="1271"/>
      </w:tblGrid>
      <w:tr w:rsidR="004E013D" w:rsidRPr="008752B6" w:rsidTr="003D3971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986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8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E013D" w:rsidRPr="008752B6" w:rsidTr="003D3971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9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422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4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7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F138B3" w:rsidRPr="008752B6" w:rsidTr="003D3971">
        <w:tc>
          <w:tcPr>
            <w:tcW w:w="2186" w:type="dxa"/>
            <w:shd w:val="clear" w:color="auto" w:fill="auto"/>
          </w:tcPr>
          <w:p w:rsidR="00F138B3" w:rsidRPr="00F05FA7" w:rsidRDefault="00F138B3" w:rsidP="008813BC">
            <w:pPr>
              <w:pStyle w:val="Default"/>
              <w:ind w:right="340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Демонтаж металевої огорожі з сітки</w:t>
            </w:r>
          </w:p>
        </w:tc>
        <w:tc>
          <w:tcPr>
            <w:tcW w:w="1291" w:type="dxa"/>
            <w:shd w:val="clear" w:color="auto" w:fill="auto"/>
          </w:tcPr>
          <w:p w:rsidR="00F138B3" w:rsidRPr="00F05FA7" w:rsidRDefault="00F138B3" w:rsidP="00B63B9C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150м</w:t>
            </w:r>
          </w:p>
        </w:tc>
        <w:tc>
          <w:tcPr>
            <w:tcW w:w="1273" w:type="dxa"/>
            <w:shd w:val="clear" w:color="auto" w:fill="auto"/>
          </w:tcPr>
          <w:p w:rsidR="00F138B3" w:rsidRPr="00F05FA7" w:rsidRDefault="00F138B3" w:rsidP="00B63B9C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190,4</w:t>
            </w:r>
          </w:p>
        </w:tc>
        <w:tc>
          <w:tcPr>
            <w:tcW w:w="1422" w:type="dxa"/>
            <w:shd w:val="clear" w:color="auto" w:fill="auto"/>
          </w:tcPr>
          <w:p w:rsidR="00F138B3" w:rsidRPr="00F05FA7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28560,0</w:t>
            </w:r>
          </w:p>
        </w:tc>
        <w:tc>
          <w:tcPr>
            <w:tcW w:w="1140" w:type="dxa"/>
            <w:shd w:val="clear" w:color="auto" w:fill="auto"/>
          </w:tcPr>
          <w:p w:rsidR="00F138B3" w:rsidRPr="00F05FA7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150м</w:t>
            </w:r>
          </w:p>
        </w:tc>
        <w:tc>
          <w:tcPr>
            <w:tcW w:w="1271" w:type="dxa"/>
            <w:shd w:val="clear" w:color="auto" w:fill="auto"/>
          </w:tcPr>
          <w:p w:rsidR="00F138B3" w:rsidRPr="00F05FA7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190,4</w:t>
            </w:r>
          </w:p>
        </w:tc>
        <w:tc>
          <w:tcPr>
            <w:tcW w:w="1271" w:type="dxa"/>
            <w:shd w:val="clear" w:color="auto" w:fill="auto"/>
          </w:tcPr>
          <w:p w:rsidR="00F138B3" w:rsidRPr="00F05FA7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28560,0</w:t>
            </w:r>
          </w:p>
        </w:tc>
      </w:tr>
      <w:tr w:rsidR="00F138B3" w:rsidRPr="008752B6" w:rsidTr="003D3971">
        <w:tc>
          <w:tcPr>
            <w:tcW w:w="2186" w:type="dxa"/>
            <w:shd w:val="clear" w:color="auto" w:fill="auto"/>
          </w:tcPr>
          <w:p w:rsidR="00F138B3" w:rsidRPr="00F05FA7" w:rsidRDefault="00F138B3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Навантаження сміття вручну</w:t>
            </w:r>
          </w:p>
        </w:tc>
        <w:tc>
          <w:tcPr>
            <w:tcW w:w="1291" w:type="dxa"/>
            <w:shd w:val="clear" w:color="auto" w:fill="auto"/>
          </w:tcPr>
          <w:p w:rsidR="00F138B3" w:rsidRPr="00F05FA7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1,2 т</w:t>
            </w:r>
          </w:p>
        </w:tc>
        <w:tc>
          <w:tcPr>
            <w:tcW w:w="1273" w:type="dxa"/>
            <w:shd w:val="clear" w:color="auto" w:fill="auto"/>
          </w:tcPr>
          <w:p w:rsidR="00F138B3" w:rsidRPr="00F05FA7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34,16</w:t>
            </w:r>
          </w:p>
        </w:tc>
        <w:tc>
          <w:tcPr>
            <w:tcW w:w="1422" w:type="dxa"/>
            <w:shd w:val="clear" w:color="auto" w:fill="auto"/>
          </w:tcPr>
          <w:p w:rsidR="00F138B3" w:rsidRPr="00F05FA7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41</w:t>
            </w:r>
          </w:p>
        </w:tc>
        <w:tc>
          <w:tcPr>
            <w:tcW w:w="1140" w:type="dxa"/>
            <w:shd w:val="clear" w:color="auto" w:fill="auto"/>
          </w:tcPr>
          <w:p w:rsidR="00F138B3" w:rsidRPr="00F05FA7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1,2 т</w:t>
            </w:r>
          </w:p>
        </w:tc>
        <w:tc>
          <w:tcPr>
            <w:tcW w:w="1271" w:type="dxa"/>
            <w:shd w:val="clear" w:color="auto" w:fill="auto"/>
          </w:tcPr>
          <w:p w:rsidR="00F138B3" w:rsidRPr="00F05FA7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34,16</w:t>
            </w:r>
          </w:p>
        </w:tc>
        <w:tc>
          <w:tcPr>
            <w:tcW w:w="1271" w:type="dxa"/>
            <w:shd w:val="clear" w:color="auto" w:fill="auto"/>
          </w:tcPr>
          <w:p w:rsidR="00F138B3" w:rsidRPr="00F05FA7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41</w:t>
            </w:r>
          </w:p>
        </w:tc>
      </w:tr>
      <w:tr w:rsidR="00F138B3" w:rsidRPr="008752B6" w:rsidTr="003D3971">
        <w:tc>
          <w:tcPr>
            <w:tcW w:w="2186" w:type="dxa"/>
            <w:shd w:val="clear" w:color="auto" w:fill="auto"/>
          </w:tcPr>
          <w:p w:rsidR="00F138B3" w:rsidRPr="00074214" w:rsidRDefault="00F138B3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Перевезення сміття до 15 км</w:t>
            </w:r>
          </w:p>
        </w:tc>
        <w:tc>
          <w:tcPr>
            <w:tcW w:w="1291" w:type="dxa"/>
            <w:shd w:val="clear" w:color="auto" w:fill="auto"/>
          </w:tcPr>
          <w:p w:rsidR="00F138B3" w:rsidRPr="00F05FA7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1,2 т</w:t>
            </w:r>
          </w:p>
        </w:tc>
        <w:tc>
          <w:tcPr>
            <w:tcW w:w="1273" w:type="dxa"/>
            <w:shd w:val="clear" w:color="auto" w:fill="auto"/>
          </w:tcPr>
          <w:p w:rsidR="00F138B3" w:rsidRPr="00F05FA7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160</w:t>
            </w:r>
          </w:p>
        </w:tc>
        <w:tc>
          <w:tcPr>
            <w:tcW w:w="1422" w:type="dxa"/>
            <w:shd w:val="clear" w:color="auto" w:fill="auto"/>
          </w:tcPr>
          <w:p w:rsidR="00F138B3" w:rsidRPr="00F05FA7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192</w:t>
            </w:r>
          </w:p>
        </w:tc>
        <w:tc>
          <w:tcPr>
            <w:tcW w:w="1140" w:type="dxa"/>
            <w:shd w:val="clear" w:color="auto" w:fill="auto"/>
          </w:tcPr>
          <w:p w:rsidR="00F138B3" w:rsidRPr="00F05FA7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1,2 т</w:t>
            </w:r>
          </w:p>
        </w:tc>
        <w:tc>
          <w:tcPr>
            <w:tcW w:w="1271" w:type="dxa"/>
            <w:shd w:val="clear" w:color="auto" w:fill="auto"/>
          </w:tcPr>
          <w:p w:rsidR="00F138B3" w:rsidRPr="00F05FA7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160</w:t>
            </w:r>
          </w:p>
        </w:tc>
        <w:tc>
          <w:tcPr>
            <w:tcW w:w="1271" w:type="dxa"/>
            <w:shd w:val="clear" w:color="auto" w:fill="auto"/>
          </w:tcPr>
          <w:p w:rsidR="00F138B3" w:rsidRPr="00F05FA7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192</w:t>
            </w:r>
          </w:p>
        </w:tc>
      </w:tr>
      <w:tr w:rsidR="00F138B3" w:rsidRPr="008752B6" w:rsidTr="003D3971">
        <w:trPr>
          <w:trHeight w:val="615"/>
        </w:trPr>
        <w:tc>
          <w:tcPr>
            <w:tcW w:w="2186" w:type="dxa"/>
            <w:shd w:val="clear" w:color="auto" w:fill="auto"/>
          </w:tcPr>
          <w:p w:rsidR="00F138B3" w:rsidRPr="00074214" w:rsidRDefault="00F138B3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Улаштування бетонних фундаментів стовпів (бетон важкий В15 (М200), крупність заповнювача більше 40мм)</w:t>
            </w:r>
          </w:p>
        </w:tc>
        <w:tc>
          <w:tcPr>
            <w:tcW w:w="1291" w:type="dxa"/>
            <w:shd w:val="clear" w:color="auto" w:fill="auto"/>
          </w:tcPr>
          <w:p w:rsidR="00F138B3" w:rsidRPr="00F05FA7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19,04 м</w:t>
            </w:r>
            <w:r w:rsidRPr="008035D6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F138B3" w:rsidRPr="00F05FA7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1755,04</w:t>
            </w:r>
          </w:p>
        </w:tc>
        <w:tc>
          <w:tcPr>
            <w:tcW w:w="1422" w:type="dxa"/>
            <w:shd w:val="clear" w:color="auto" w:fill="auto"/>
          </w:tcPr>
          <w:p w:rsidR="00F138B3" w:rsidRPr="00F05FA7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33416,0</w:t>
            </w:r>
          </w:p>
        </w:tc>
        <w:tc>
          <w:tcPr>
            <w:tcW w:w="1140" w:type="dxa"/>
            <w:shd w:val="clear" w:color="auto" w:fill="auto"/>
          </w:tcPr>
          <w:p w:rsidR="00F138B3" w:rsidRPr="00F05FA7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19,04 м</w:t>
            </w:r>
            <w:r w:rsidRPr="008035D6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F138B3" w:rsidRPr="00F05FA7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1755,04</w:t>
            </w:r>
          </w:p>
        </w:tc>
        <w:tc>
          <w:tcPr>
            <w:tcW w:w="1271" w:type="dxa"/>
            <w:shd w:val="clear" w:color="auto" w:fill="auto"/>
          </w:tcPr>
          <w:p w:rsidR="00F138B3" w:rsidRPr="00F05FA7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33416,0</w:t>
            </w:r>
          </w:p>
        </w:tc>
      </w:tr>
      <w:tr w:rsidR="00F138B3" w:rsidRPr="008752B6" w:rsidTr="003D3971">
        <w:trPr>
          <w:trHeight w:val="135"/>
        </w:trPr>
        <w:tc>
          <w:tcPr>
            <w:tcW w:w="2186" w:type="dxa"/>
            <w:shd w:val="clear" w:color="auto" w:fill="auto"/>
          </w:tcPr>
          <w:p w:rsidR="00F138B3" w:rsidRDefault="00F138B3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Виготовлення стовпів для огорожі</w:t>
            </w:r>
          </w:p>
        </w:tc>
        <w:tc>
          <w:tcPr>
            <w:tcW w:w="1291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2,7 т</w:t>
            </w:r>
          </w:p>
        </w:tc>
        <w:tc>
          <w:tcPr>
            <w:tcW w:w="1273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2111,0</w:t>
            </w:r>
          </w:p>
        </w:tc>
        <w:tc>
          <w:tcPr>
            <w:tcW w:w="1422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57000,0</w:t>
            </w:r>
          </w:p>
        </w:tc>
        <w:tc>
          <w:tcPr>
            <w:tcW w:w="1140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2,7 т</w:t>
            </w:r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2111,0</w:t>
            </w:r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57000,0</w:t>
            </w:r>
          </w:p>
        </w:tc>
      </w:tr>
      <w:tr w:rsidR="00F138B3" w:rsidRPr="008752B6" w:rsidTr="003D3971">
        <w:trPr>
          <w:trHeight w:val="118"/>
        </w:trPr>
        <w:tc>
          <w:tcPr>
            <w:tcW w:w="2186" w:type="dxa"/>
            <w:shd w:val="clear" w:color="auto" w:fill="auto"/>
          </w:tcPr>
          <w:p w:rsidR="00F138B3" w:rsidRDefault="00F138B3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Виготовлення огорожі</w:t>
            </w:r>
          </w:p>
        </w:tc>
        <w:tc>
          <w:tcPr>
            <w:tcW w:w="1291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1,8 т</w:t>
            </w:r>
          </w:p>
        </w:tc>
        <w:tc>
          <w:tcPr>
            <w:tcW w:w="1273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40388,9</w:t>
            </w:r>
          </w:p>
        </w:tc>
        <w:tc>
          <w:tcPr>
            <w:tcW w:w="1422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72700,0</w:t>
            </w:r>
          </w:p>
        </w:tc>
        <w:tc>
          <w:tcPr>
            <w:tcW w:w="1140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1,8 т</w:t>
            </w:r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40388,9</w:t>
            </w:r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72700,0</w:t>
            </w:r>
          </w:p>
        </w:tc>
      </w:tr>
      <w:tr w:rsidR="00F138B3" w:rsidRPr="008752B6" w:rsidTr="003D3971">
        <w:trPr>
          <w:trHeight w:val="118"/>
        </w:trPr>
        <w:tc>
          <w:tcPr>
            <w:tcW w:w="2186" w:type="dxa"/>
            <w:shd w:val="clear" w:color="auto" w:fill="auto"/>
          </w:tcPr>
          <w:p w:rsidR="00F138B3" w:rsidRDefault="00F138B3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Грунтування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 xml:space="preserve"> металевих поверхонь за один раз </w:t>
            </w:r>
            <w:r>
              <w:rPr>
                <w:rFonts w:eastAsia="Arial Unicode MS"/>
                <w:sz w:val="22"/>
                <w:szCs w:val="22"/>
                <w:lang w:val="uk-UA"/>
              </w:rPr>
              <w:lastRenderedPageBreak/>
              <w:t>ґрунтовкою ГФ-021</w:t>
            </w:r>
          </w:p>
        </w:tc>
        <w:tc>
          <w:tcPr>
            <w:tcW w:w="1291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lastRenderedPageBreak/>
              <w:t>190 м</w:t>
            </w:r>
            <w:r w:rsidRPr="008035D6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11,05</w:t>
            </w:r>
          </w:p>
        </w:tc>
        <w:tc>
          <w:tcPr>
            <w:tcW w:w="1422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2100,0</w:t>
            </w:r>
          </w:p>
        </w:tc>
        <w:tc>
          <w:tcPr>
            <w:tcW w:w="1140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190 м</w:t>
            </w:r>
            <w:r w:rsidRPr="008035D6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11,05</w:t>
            </w:r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2100,0</w:t>
            </w:r>
          </w:p>
        </w:tc>
      </w:tr>
      <w:tr w:rsidR="00F138B3" w:rsidRPr="008752B6" w:rsidTr="003D3971">
        <w:trPr>
          <w:trHeight w:val="135"/>
        </w:trPr>
        <w:tc>
          <w:tcPr>
            <w:tcW w:w="2186" w:type="dxa"/>
            <w:shd w:val="clear" w:color="auto" w:fill="auto"/>
          </w:tcPr>
          <w:p w:rsidR="00F138B3" w:rsidRDefault="00F138B3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lastRenderedPageBreak/>
              <w:t>Фабування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 xml:space="preserve"> металевих поґрунтованих поверхонь емаллю ПФ-115 за 2 рази</w:t>
            </w:r>
          </w:p>
        </w:tc>
        <w:tc>
          <w:tcPr>
            <w:tcW w:w="1291" w:type="dxa"/>
            <w:shd w:val="clear" w:color="auto" w:fill="auto"/>
          </w:tcPr>
          <w:p w:rsidR="00F138B3" w:rsidRDefault="00F138B3" w:rsidP="008035D6">
            <w:pPr>
              <w:pStyle w:val="Default"/>
              <w:ind w:right="340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190 м</w:t>
            </w:r>
            <w:r w:rsidRPr="008035D6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37,85</w:t>
            </w:r>
          </w:p>
        </w:tc>
        <w:tc>
          <w:tcPr>
            <w:tcW w:w="1422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7193</w:t>
            </w:r>
          </w:p>
        </w:tc>
        <w:tc>
          <w:tcPr>
            <w:tcW w:w="1140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190 м</w:t>
            </w:r>
            <w:r w:rsidRPr="008035D6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37,85</w:t>
            </w:r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7193</w:t>
            </w:r>
          </w:p>
        </w:tc>
      </w:tr>
      <w:tr w:rsidR="00F138B3" w:rsidRPr="008752B6" w:rsidTr="003D3971">
        <w:trPr>
          <w:trHeight w:val="135"/>
        </w:trPr>
        <w:tc>
          <w:tcPr>
            <w:tcW w:w="2186" w:type="dxa"/>
            <w:shd w:val="clear" w:color="auto" w:fill="auto"/>
          </w:tcPr>
          <w:p w:rsidR="00F138B3" w:rsidRDefault="00F138B3" w:rsidP="001A5C41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Демонтаж блоків підпорної стіни</w:t>
            </w:r>
          </w:p>
        </w:tc>
        <w:tc>
          <w:tcPr>
            <w:tcW w:w="1291" w:type="dxa"/>
            <w:shd w:val="clear" w:color="auto" w:fill="auto"/>
          </w:tcPr>
          <w:p w:rsidR="00F138B3" w:rsidRDefault="00F138B3" w:rsidP="008035D6">
            <w:pPr>
              <w:pStyle w:val="Default"/>
              <w:ind w:right="340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55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509,09</w:t>
            </w:r>
          </w:p>
        </w:tc>
        <w:tc>
          <w:tcPr>
            <w:tcW w:w="1422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28000,0</w:t>
            </w:r>
          </w:p>
        </w:tc>
        <w:tc>
          <w:tcPr>
            <w:tcW w:w="1140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55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509,09</w:t>
            </w:r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28000,0</w:t>
            </w:r>
          </w:p>
        </w:tc>
      </w:tr>
      <w:tr w:rsidR="00F138B3" w:rsidRPr="008752B6" w:rsidTr="003D3971">
        <w:trPr>
          <w:trHeight w:val="90"/>
        </w:trPr>
        <w:tc>
          <w:tcPr>
            <w:tcW w:w="2186" w:type="dxa"/>
            <w:shd w:val="clear" w:color="auto" w:fill="auto"/>
          </w:tcPr>
          <w:p w:rsidR="00F138B3" w:rsidRDefault="00F138B3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Улаштування ущільнених трамбівками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підстилаючих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 xml:space="preserve"> щебеневих шарів</w:t>
            </w:r>
          </w:p>
        </w:tc>
        <w:tc>
          <w:tcPr>
            <w:tcW w:w="1291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11,25 м</w:t>
            </w:r>
            <w:r w:rsidRPr="008035D6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115,0</w:t>
            </w:r>
          </w:p>
        </w:tc>
        <w:tc>
          <w:tcPr>
            <w:tcW w:w="1422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13000,0</w:t>
            </w:r>
          </w:p>
        </w:tc>
        <w:tc>
          <w:tcPr>
            <w:tcW w:w="1140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11,25 м</w:t>
            </w:r>
            <w:r w:rsidRPr="008035D6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115,0</w:t>
            </w:r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13000,0</w:t>
            </w:r>
          </w:p>
        </w:tc>
      </w:tr>
      <w:tr w:rsidR="00F138B3" w:rsidRPr="008752B6" w:rsidTr="003D3971">
        <w:trPr>
          <w:trHeight w:val="103"/>
        </w:trPr>
        <w:tc>
          <w:tcPr>
            <w:tcW w:w="2186" w:type="dxa"/>
            <w:shd w:val="clear" w:color="auto" w:fill="auto"/>
          </w:tcPr>
          <w:p w:rsidR="00F138B3" w:rsidRDefault="00F138B3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Установлення блоків підпірної стіни (існуючих)</w:t>
            </w:r>
          </w:p>
        </w:tc>
        <w:tc>
          <w:tcPr>
            <w:tcW w:w="1291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55 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568,29</w:t>
            </w:r>
          </w:p>
        </w:tc>
        <w:tc>
          <w:tcPr>
            <w:tcW w:w="1422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31256,0</w:t>
            </w:r>
          </w:p>
        </w:tc>
        <w:tc>
          <w:tcPr>
            <w:tcW w:w="1140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55 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568,29</w:t>
            </w:r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31256,0</w:t>
            </w:r>
          </w:p>
        </w:tc>
      </w:tr>
      <w:tr w:rsidR="00F138B3" w:rsidRPr="008752B6" w:rsidTr="003D3971">
        <w:trPr>
          <w:trHeight w:val="135"/>
        </w:trPr>
        <w:tc>
          <w:tcPr>
            <w:tcW w:w="2186" w:type="dxa"/>
            <w:shd w:val="clear" w:color="auto" w:fill="auto"/>
          </w:tcPr>
          <w:p w:rsidR="00F138B3" w:rsidRDefault="00F138B3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Підсипання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грунту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 xml:space="preserve"> вручну</w:t>
            </w:r>
          </w:p>
        </w:tc>
        <w:tc>
          <w:tcPr>
            <w:tcW w:w="1291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0,3 м</w:t>
            </w:r>
            <w:r w:rsidRPr="008035D6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3033,33</w:t>
            </w:r>
          </w:p>
        </w:tc>
        <w:tc>
          <w:tcPr>
            <w:tcW w:w="1422" w:type="dxa"/>
            <w:shd w:val="clear" w:color="auto" w:fill="auto"/>
          </w:tcPr>
          <w:p w:rsidR="00F138B3" w:rsidRDefault="00F138B3" w:rsidP="008035D6">
            <w:pPr>
              <w:pStyle w:val="Default"/>
              <w:ind w:right="340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910,0</w:t>
            </w:r>
          </w:p>
        </w:tc>
        <w:tc>
          <w:tcPr>
            <w:tcW w:w="1140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0,3 м</w:t>
            </w:r>
            <w:r w:rsidRPr="008035D6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3033,33</w:t>
            </w:r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910,0</w:t>
            </w:r>
          </w:p>
        </w:tc>
      </w:tr>
      <w:tr w:rsidR="00F138B3" w:rsidRPr="008752B6" w:rsidTr="003D3971">
        <w:trPr>
          <w:trHeight w:val="120"/>
        </w:trPr>
        <w:tc>
          <w:tcPr>
            <w:tcW w:w="2186" w:type="dxa"/>
            <w:shd w:val="clear" w:color="auto" w:fill="auto"/>
          </w:tcPr>
          <w:p w:rsidR="00F138B3" w:rsidRDefault="00F138B3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Ущільнення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грунту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 xml:space="preserve"> футбольного поля (покращений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грунт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 xml:space="preserve"> основи)</w:t>
            </w:r>
          </w:p>
        </w:tc>
        <w:tc>
          <w:tcPr>
            <w:tcW w:w="1291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1250 м</w:t>
            </w:r>
            <w:r w:rsidRPr="007A3C0A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5,2</w:t>
            </w:r>
          </w:p>
        </w:tc>
        <w:tc>
          <w:tcPr>
            <w:tcW w:w="1422" w:type="dxa"/>
            <w:shd w:val="clear" w:color="auto" w:fill="auto"/>
          </w:tcPr>
          <w:p w:rsidR="00F138B3" w:rsidRDefault="00F138B3" w:rsidP="007A3C0A">
            <w:pPr>
              <w:pStyle w:val="Default"/>
              <w:ind w:right="340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6500,0</w:t>
            </w:r>
          </w:p>
        </w:tc>
        <w:tc>
          <w:tcPr>
            <w:tcW w:w="1140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1250 м</w:t>
            </w:r>
            <w:r w:rsidRPr="007A3C0A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5,2</w:t>
            </w:r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6500,0</w:t>
            </w:r>
          </w:p>
        </w:tc>
      </w:tr>
      <w:tr w:rsidR="00F138B3" w:rsidRPr="008752B6" w:rsidTr="003D3971">
        <w:trPr>
          <w:trHeight w:val="120"/>
        </w:trPr>
        <w:tc>
          <w:tcPr>
            <w:tcW w:w="2186" w:type="dxa"/>
            <w:shd w:val="clear" w:color="auto" w:fill="auto"/>
          </w:tcPr>
          <w:p w:rsidR="00F138B3" w:rsidRDefault="00F138B3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Улаштування ущільнених трамбівками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підстилаючих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 xml:space="preserve"> щебеневих шарів</w:t>
            </w:r>
          </w:p>
        </w:tc>
        <w:tc>
          <w:tcPr>
            <w:tcW w:w="1291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125 м</w:t>
            </w:r>
            <w:r w:rsidRPr="007A3C0A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660,6</w:t>
            </w:r>
          </w:p>
        </w:tc>
        <w:tc>
          <w:tcPr>
            <w:tcW w:w="1422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82576,0</w:t>
            </w:r>
          </w:p>
        </w:tc>
        <w:tc>
          <w:tcPr>
            <w:tcW w:w="1140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125 м</w:t>
            </w:r>
            <w:r w:rsidRPr="007A3C0A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660,6</w:t>
            </w:r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82576,0</w:t>
            </w:r>
          </w:p>
        </w:tc>
      </w:tr>
      <w:tr w:rsidR="00F138B3" w:rsidRPr="008752B6" w:rsidTr="003D3971">
        <w:trPr>
          <w:trHeight w:val="118"/>
        </w:trPr>
        <w:tc>
          <w:tcPr>
            <w:tcW w:w="2186" w:type="dxa"/>
            <w:shd w:val="clear" w:color="auto" w:fill="auto"/>
          </w:tcPr>
          <w:p w:rsidR="00F138B3" w:rsidRDefault="00F138B3" w:rsidP="001A5C41">
            <w:pPr>
              <w:pStyle w:val="Default"/>
              <w:tabs>
                <w:tab w:val="left" w:pos="1380"/>
              </w:tabs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Розроблення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грунту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 xml:space="preserve"> бульдозерами потужністю 59 кВт (80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к.с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>.) (шар підґрунтя з вмістом великих піщаних фракцій)</w:t>
            </w:r>
          </w:p>
        </w:tc>
        <w:tc>
          <w:tcPr>
            <w:tcW w:w="1291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125 м</w:t>
            </w:r>
            <w:r w:rsidRPr="007A3C0A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</w:t>
            </w:r>
          </w:p>
        </w:tc>
        <w:tc>
          <w:tcPr>
            <w:tcW w:w="1422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1000,0</w:t>
            </w:r>
          </w:p>
        </w:tc>
        <w:tc>
          <w:tcPr>
            <w:tcW w:w="1140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125 м</w:t>
            </w:r>
            <w:r w:rsidRPr="007A3C0A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1000,0</w:t>
            </w:r>
          </w:p>
        </w:tc>
      </w:tr>
      <w:tr w:rsidR="00F138B3" w:rsidRPr="008752B6" w:rsidTr="003D3971">
        <w:trPr>
          <w:trHeight w:val="90"/>
        </w:trPr>
        <w:tc>
          <w:tcPr>
            <w:tcW w:w="2186" w:type="dxa"/>
            <w:shd w:val="clear" w:color="auto" w:fill="auto"/>
          </w:tcPr>
          <w:p w:rsidR="00F138B3" w:rsidRPr="007A3C0A" w:rsidRDefault="00F138B3" w:rsidP="00353E74">
            <w:pPr>
              <w:pStyle w:val="Default"/>
              <w:ind w:right="340"/>
              <w:jc w:val="both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  <w:r w:rsidRPr="007A3C0A">
              <w:rPr>
                <w:rFonts w:eastAsia="Arial Unicode MS"/>
                <w:color w:val="auto"/>
                <w:sz w:val="22"/>
                <w:szCs w:val="22"/>
                <w:lang w:val="uk-UA"/>
              </w:rPr>
              <w:t>Пісок (великі піщані фракції)</w:t>
            </w:r>
          </w:p>
        </w:tc>
        <w:tc>
          <w:tcPr>
            <w:tcW w:w="1291" w:type="dxa"/>
            <w:shd w:val="clear" w:color="auto" w:fill="auto"/>
          </w:tcPr>
          <w:p w:rsidR="00F138B3" w:rsidRPr="007A3C0A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  <w:r w:rsidRPr="007A3C0A">
              <w:rPr>
                <w:rFonts w:eastAsia="Arial Unicode MS"/>
                <w:color w:val="auto"/>
                <w:sz w:val="22"/>
                <w:szCs w:val="22"/>
                <w:lang w:val="uk-UA"/>
              </w:rPr>
              <w:t>25 м</w:t>
            </w:r>
            <w:r w:rsidRPr="007A3C0A">
              <w:rPr>
                <w:rFonts w:eastAsia="Arial Unicode MS"/>
                <w:color w:val="auto"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F138B3" w:rsidRPr="007A3C0A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  <w:r w:rsidRPr="007A3C0A">
              <w:rPr>
                <w:rFonts w:eastAsia="Arial Unicode MS"/>
                <w:color w:val="auto"/>
                <w:sz w:val="22"/>
                <w:szCs w:val="22"/>
                <w:lang w:val="uk-UA"/>
              </w:rPr>
              <w:t>363,84</w:t>
            </w:r>
          </w:p>
        </w:tc>
        <w:tc>
          <w:tcPr>
            <w:tcW w:w="1422" w:type="dxa"/>
            <w:shd w:val="clear" w:color="auto" w:fill="auto"/>
          </w:tcPr>
          <w:p w:rsidR="00F138B3" w:rsidRPr="007A3C0A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  <w:r w:rsidRPr="007A3C0A">
              <w:rPr>
                <w:rFonts w:eastAsia="Arial Unicode MS"/>
                <w:color w:val="auto"/>
                <w:sz w:val="22"/>
                <w:szCs w:val="22"/>
                <w:lang w:val="uk-UA"/>
              </w:rPr>
              <w:t>9096,0</w:t>
            </w:r>
          </w:p>
        </w:tc>
        <w:tc>
          <w:tcPr>
            <w:tcW w:w="1140" w:type="dxa"/>
            <w:shd w:val="clear" w:color="auto" w:fill="auto"/>
          </w:tcPr>
          <w:p w:rsidR="00F138B3" w:rsidRPr="007A3C0A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  <w:r w:rsidRPr="007A3C0A">
              <w:rPr>
                <w:rFonts w:eastAsia="Arial Unicode MS"/>
                <w:color w:val="auto"/>
                <w:sz w:val="22"/>
                <w:szCs w:val="22"/>
                <w:lang w:val="uk-UA"/>
              </w:rPr>
              <w:t>25 м</w:t>
            </w:r>
            <w:r w:rsidRPr="007A3C0A">
              <w:rPr>
                <w:rFonts w:eastAsia="Arial Unicode MS"/>
                <w:color w:val="auto"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F138B3" w:rsidRPr="007A3C0A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  <w:r w:rsidRPr="007A3C0A">
              <w:rPr>
                <w:rFonts w:eastAsia="Arial Unicode MS"/>
                <w:color w:val="auto"/>
                <w:sz w:val="22"/>
                <w:szCs w:val="22"/>
                <w:lang w:val="uk-UA"/>
              </w:rPr>
              <w:t>363,84</w:t>
            </w:r>
          </w:p>
        </w:tc>
        <w:tc>
          <w:tcPr>
            <w:tcW w:w="1271" w:type="dxa"/>
            <w:shd w:val="clear" w:color="auto" w:fill="auto"/>
          </w:tcPr>
          <w:p w:rsidR="00F138B3" w:rsidRPr="007A3C0A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  <w:r w:rsidRPr="007A3C0A">
              <w:rPr>
                <w:rFonts w:eastAsia="Arial Unicode MS"/>
                <w:color w:val="auto"/>
                <w:sz w:val="22"/>
                <w:szCs w:val="22"/>
                <w:lang w:val="uk-UA"/>
              </w:rPr>
              <w:t>9096,0</w:t>
            </w:r>
          </w:p>
        </w:tc>
      </w:tr>
      <w:tr w:rsidR="00F138B3" w:rsidRPr="008752B6" w:rsidTr="003D3971">
        <w:trPr>
          <w:trHeight w:val="88"/>
        </w:trPr>
        <w:tc>
          <w:tcPr>
            <w:tcW w:w="2186" w:type="dxa"/>
            <w:shd w:val="clear" w:color="auto" w:fill="auto"/>
          </w:tcPr>
          <w:p w:rsidR="00F138B3" w:rsidRPr="007A3C0A" w:rsidRDefault="00F138B3" w:rsidP="00353E74">
            <w:pPr>
              <w:pStyle w:val="Default"/>
              <w:ind w:right="340"/>
              <w:jc w:val="both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  <w:r w:rsidRPr="007A3C0A">
              <w:rPr>
                <w:rFonts w:eastAsia="Arial Unicode MS"/>
                <w:color w:val="auto"/>
                <w:sz w:val="22"/>
                <w:szCs w:val="22"/>
                <w:lang w:val="uk-UA"/>
              </w:rPr>
              <w:t xml:space="preserve">Розроблення </w:t>
            </w:r>
            <w:proofErr w:type="spellStart"/>
            <w:r w:rsidRPr="007A3C0A">
              <w:rPr>
                <w:rFonts w:eastAsia="Arial Unicode MS"/>
                <w:color w:val="auto"/>
                <w:sz w:val="22"/>
                <w:szCs w:val="22"/>
                <w:lang w:val="uk-UA"/>
              </w:rPr>
              <w:t>грунту</w:t>
            </w:r>
            <w:proofErr w:type="spellEnd"/>
            <w:r w:rsidRPr="007A3C0A">
              <w:rPr>
                <w:rFonts w:eastAsia="Arial Unicode MS"/>
                <w:color w:val="auto"/>
                <w:sz w:val="22"/>
                <w:szCs w:val="22"/>
                <w:lang w:val="uk-UA"/>
              </w:rPr>
              <w:t xml:space="preserve"> бульдозерами потужністю 59 кВт (80 </w:t>
            </w:r>
            <w:proofErr w:type="spellStart"/>
            <w:r w:rsidRPr="007A3C0A">
              <w:rPr>
                <w:rFonts w:eastAsia="Arial Unicode MS"/>
                <w:color w:val="auto"/>
                <w:sz w:val="22"/>
                <w:szCs w:val="22"/>
                <w:lang w:val="uk-UA"/>
              </w:rPr>
              <w:t>к.с</w:t>
            </w:r>
            <w:proofErr w:type="spellEnd"/>
            <w:r w:rsidRPr="007A3C0A">
              <w:rPr>
                <w:rFonts w:eastAsia="Arial Unicode MS"/>
                <w:color w:val="auto"/>
                <w:sz w:val="22"/>
                <w:szCs w:val="22"/>
                <w:lang w:val="uk-UA"/>
              </w:rPr>
              <w:t xml:space="preserve">.) верхній шар </w:t>
            </w:r>
            <w:proofErr w:type="spellStart"/>
            <w:r w:rsidRPr="007A3C0A">
              <w:rPr>
                <w:rFonts w:eastAsia="Arial Unicode MS"/>
                <w:color w:val="auto"/>
                <w:sz w:val="22"/>
                <w:szCs w:val="22"/>
                <w:lang w:val="uk-UA"/>
              </w:rPr>
              <w:t>грунту</w:t>
            </w:r>
            <w:proofErr w:type="spellEnd"/>
            <w:r w:rsidRPr="007A3C0A">
              <w:rPr>
                <w:rFonts w:eastAsia="Arial Unicode MS"/>
                <w:color w:val="auto"/>
                <w:sz w:val="22"/>
                <w:szCs w:val="22"/>
                <w:lang w:val="uk-UA"/>
              </w:rPr>
              <w:t xml:space="preserve"> з дернуванням</w:t>
            </w:r>
          </w:p>
        </w:tc>
        <w:tc>
          <w:tcPr>
            <w:tcW w:w="1291" w:type="dxa"/>
            <w:shd w:val="clear" w:color="auto" w:fill="auto"/>
          </w:tcPr>
          <w:p w:rsidR="00F138B3" w:rsidRPr="007A3C0A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  <w:r w:rsidRPr="007A3C0A">
              <w:rPr>
                <w:rFonts w:eastAsia="Arial Unicode MS"/>
                <w:color w:val="auto"/>
                <w:sz w:val="22"/>
                <w:szCs w:val="22"/>
                <w:lang w:val="uk-UA"/>
              </w:rPr>
              <w:t>187,5 м</w:t>
            </w:r>
            <w:r w:rsidRPr="007A3C0A">
              <w:rPr>
                <w:rFonts w:eastAsia="Arial Unicode MS"/>
                <w:color w:val="auto"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F138B3" w:rsidRPr="007A3C0A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  <w:r w:rsidRPr="007A3C0A">
              <w:rPr>
                <w:rFonts w:eastAsia="Arial Unicode MS"/>
                <w:color w:val="auto"/>
                <w:sz w:val="22"/>
                <w:szCs w:val="22"/>
                <w:lang w:val="uk-UA"/>
              </w:rPr>
              <w:t>9,77</w:t>
            </w:r>
          </w:p>
        </w:tc>
        <w:tc>
          <w:tcPr>
            <w:tcW w:w="1422" w:type="dxa"/>
            <w:shd w:val="clear" w:color="auto" w:fill="auto"/>
          </w:tcPr>
          <w:p w:rsidR="00F138B3" w:rsidRPr="007A3C0A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  <w:r w:rsidRPr="007A3C0A">
              <w:rPr>
                <w:rFonts w:eastAsia="Arial Unicode MS"/>
                <w:color w:val="auto"/>
                <w:sz w:val="22"/>
                <w:szCs w:val="22"/>
                <w:lang w:val="uk-UA"/>
              </w:rPr>
              <w:t>1833,00</w:t>
            </w:r>
          </w:p>
        </w:tc>
        <w:tc>
          <w:tcPr>
            <w:tcW w:w="1140" w:type="dxa"/>
            <w:shd w:val="clear" w:color="auto" w:fill="auto"/>
          </w:tcPr>
          <w:p w:rsidR="00F138B3" w:rsidRPr="007A3C0A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  <w:r w:rsidRPr="007A3C0A">
              <w:rPr>
                <w:rFonts w:eastAsia="Arial Unicode MS"/>
                <w:color w:val="auto"/>
                <w:sz w:val="22"/>
                <w:szCs w:val="22"/>
                <w:lang w:val="uk-UA"/>
              </w:rPr>
              <w:t>187,5 м</w:t>
            </w:r>
            <w:r w:rsidRPr="007A3C0A">
              <w:rPr>
                <w:rFonts w:eastAsia="Arial Unicode MS"/>
                <w:color w:val="auto"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F138B3" w:rsidRPr="007A3C0A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  <w:r w:rsidRPr="007A3C0A">
              <w:rPr>
                <w:rFonts w:eastAsia="Arial Unicode MS"/>
                <w:color w:val="auto"/>
                <w:sz w:val="22"/>
                <w:szCs w:val="22"/>
                <w:lang w:val="uk-UA"/>
              </w:rPr>
              <w:t>9,77</w:t>
            </w:r>
          </w:p>
        </w:tc>
        <w:tc>
          <w:tcPr>
            <w:tcW w:w="1271" w:type="dxa"/>
            <w:shd w:val="clear" w:color="auto" w:fill="auto"/>
          </w:tcPr>
          <w:p w:rsidR="00F138B3" w:rsidRPr="007A3C0A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  <w:r w:rsidRPr="007A3C0A">
              <w:rPr>
                <w:rFonts w:eastAsia="Arial Unicode MS"/>
                <w:color w:val="auto"/>
                <w:sz w:val="22"/>
                <w:szCs w:val="22"/>
                <w:lang w:val="uk-UA"/>
              </w:rPr>
              <w:t>1833,00</w:t>
            </w:r>
          </w:p>
        </w:tc>
      </w:tr>
      <w:tr w:rsidR="00F138B3" w:rsidRPr="008752B6" w:rsidTr="003D3971">
        <w:trPr>
          <w:trHeight w:val="75"/>
        </w:trPr>
        <w:tc>
          <w:tcPr>
            <w:tcW w:w="2186" w:type="dxa"/>
            <w:shd w:val="clear" w:color="auto" w:fill="auto"/>
          </w:tcPr>
          <w:p w:rsidR="00F138B3" w:rsidRPr="007A3C0A" w:rsidRDefault="00F138B3" w:rsidP="00353E74">
            <w:pPr>
              <w:pStyle w:val="Default"/>
              <w:ind w:right="340"/>
              <w:jc w:val="both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  <w:r w:rsidRPr="007A3C0A">
              <w:rPr>
                <w:rFonts w:eastAsia="Arial Unicode MS"/>
                <w:color w:val="auto"/>
                <w:sz w:val="22"/>
                <w:szCs w:val="22"/>
                <w:lang w:val="uk-UA"/>
              </w:rPr>
              <w:t>Дерен</w:t>
            </w:r>
          </w:p>
        </w:tc>
        <w:tc>
          <w:tcPr>
            <w:tcW w:w="1291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1250 м</w:t>
            </w:r>
            <w:r w:rsidRPr="007A3C0A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21,36</w:t>
            </w:r>
          </w:p>
        </w:tc>
        <w:tc>
          <w:tcPr>
            <w:tcW w:w="1422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26710,0</w:t>
            </w:r>
          </w:p>
        </w:tc>
        <w:tc>
          <w:tcPr>
            <w:tcW w:w="1140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1250 м</w:t>
            </w:r>
            <w:r w:rsidRPr="007A3C0A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F138B3" w:rsidRDefault="008813BC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50,0</w:t>
            </w:r>
          </w:p>
        </w:tc>
        <w:tc>
          <w:tcPr>
            <w:tcW w:w="1271" w:type="dxa"/>
            <w:shd w:val="clear" w:color="auto" w:fill="auto"/>
          </w:tcPr>
          <w:p w:rsidR="00F138B3" w:rsidRDefault="008813BC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62500</w:t>
            </w:r>
            <w:r w:rsidR="00F138B3">
              <w:rPr>
                <w:rFonts w:eastAsia="Arial Unicode MS"/>
                <w:sz w:val="22"/>
                <w:szCs w:val="22"/>
                <w:lang w:val="uk-UA"/>
              </w:rPr>
              <w:t>,0</w:t>
            </w:r>
          </w:p>
        </w:tc>
      </w:tr>
      <w:tr w:rsidR="00F138B3" w:rsidRPr="008752B6" w:rsidTr="003D3971">
        <w:trPr>
          <w:trHeight w:val="103"/>
        </w:trPr>
        <w:tc>
          <w:tcPr>
            <w:tcW w:w="2186" w:type="dxa"/>
            <w:shd w:val="clear" w:color="auto" w:fill="auto"/>
          </w:tcPr>
          <w:p w:rsidR="00F138B3" w:rsidRDefault="00F138B3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Дернування поля</w:t>
            </w:r>
          </w:p>
        </w:tc>
        <w:tc>
          <w:tcPr>
            <w:tcW w:w="1291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1250 м</w:t>
            </w:r>
            <w:r w:rsidRPr="007A3C0A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7,85</w:t>
            </w:r>
          </w:p>
        </w:tc>
        <w:tc>
          <w:tcPr>
            <w:tcW w:w="1422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9820,0</w:t>
            </w:r>
          </w:p>
        </w:tc>
        <w:tc>
          <w:tcPr>
            <w:tcW w:w="1140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1250 м</w:t>
            </w:r>
            <w:r w:rsidRPr="007A3C0A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7,85</w:t>
            </w:r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9820,0</w:t>
            </w:r>
          </w:p>
        </w:tc>
      </w:tr>
      <w:tr w:rsidR="00F138B3" w:rsidRPr="008752B6" w:rsidTr="003D3971">
        <w:trPr>
          <w:trHeight w:val="135"/>
        </w:trPr>
        <w:tc>
          <w:tcPr>
            <w:tcW w:w="2186" w:type="dxa"/>
            <w:shd w:val="clear" w:color="auto" w:fill="auto"/>
          </w:tcPr>
          <w:p w:rsidR="00F138B3" w:rsidRDefault="00F138B3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Вуличні тренажери</w:t>
            </w:r>
          </w:p>
        </w:tc>
        <w:tc>
          <w:tcPr>
            <w:tcW w:w="1291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3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6580,0</w:t>
            </w:r>
          </w:p>
        </w:tc>
        <w:tc>
          <w:tcPr>
            <w:tcW w:w="1422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19740,0</w:t>
            </w:r>
          </w:p>
        </w:tc>
        <w:tc>
          <w:tcPr>
            <w:tcW w:w="1140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3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6580,0</w:t>
            </w:r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19740,0</w:t>
            </w:r>
          </w:p>
        </w:tc>
      </w:tr>
      <w:tr w:rsidR="00F138B3" w:rsidRPr="008752B6" w:rsidTr="003D3971">
        <w:trPr>
          <w:trHeight w:val="345"/>
        </w:trPr>
        <w:tc>
          <w:tcPr>
            <w:tcW w:w="2186" w:type="dxa"/>
            <w:shd w:val="clear" w:color="auto" w:fill="auto"/>
          </w:tcPr>
          <w:p w:rsidR="00F138B3" w:rsidRDefault="00F138B3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lastRenderedPageBreak/>
              <w:t>Установлення тренажерів</w:t>
            </w:r>
          </w:p>
        </w:tc>
        <w:tc>
          <w:tcPr>
            <w:tcW w:w="1291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3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119,0</w:t>
            </w:r>
          </w:p>
        </w:tc>
        <w:tc>
          <w:tcPr>
            <w:tcW w:w="1422" w:type="dxa"/>
            <w:shd w:val="clear" w:color="auto" w:fill="auto"/>
          </w:tcPr>
          <w:p w:rsidR="00F138B3" w:rsidRDefault="00F138B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357,0</w:t>
            </w:r>
          </w:p>
        </w:tc>
        <w:tc>
          <w:tcPr>
            <w:tcW w:w="1140" w:type="dxa"/>
            <w:shd w:val="clear" w:color="auto" w:fill="auto"/>
          </w:tcPr>
          <w:p w:rsidR="00F138B3" w:rsidRDefault="008813BC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25%</w:t>
            </w:r>
          </w:p>
        </w:tc>
        <w:tc>
          <w:tcPr>
            <w:tcW w:w="1271" w:type="dxa"/>
            <w:shd w:val="clear" w:color="auto" w:fill="auto"/>
          </w:tcPr>
          <w:p w:rsidR="00F138B3" w:rsidRDefault="00F138B3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F138B3" w:rsidRDefault="008813BC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4935</w:t>
            </w:r>
            <w:r w:rsidR="00F138B3">
              <w:rPr>
                <w:rFonts w:eastAsia="Arial Unicode MS"/>
                <w:sz w:val="22"/>
                <w:szCs w:val="22"/>
                <w:lang w:val="uk-UA"/>
              </w:rPr>
              <w:t>,0</w:t>
            </w:r>
          </w:p>
        </w:tc>
      </w:tr>
      <w:tr w:rsidR="000D3100" w:rsidRPr="008752B6" w:rsidTr="003D3971">
        <w:trPr>
          <w:trHeight w:val="118"/>
        </w:trPr>
        <w:tc>
          <w:tcPr>
            <w:tcW w:w="2186" w:type="dxa"/>
            <w:shd w:val="clear" w:color="auto" w:fill="auto"/>
          </w:tcPr>
          <w:p w:rsidR="000D3100" w:rsidRPr="00C07BC6" w:rsidRDefault="000D3100" w:rsidP="0087291F">
            <w:pPr>
              <w:pStyle w:val="Default"/>
              <w:ind w:right="340"/>
              <w:jc w:val="both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Доставка </w:t>
            </w:r>
            <w:proofErr w:type="spellStart"/>
            <w:r w:rsidRPr="00C07BC6">
              <w:rPr>
                <w:lang w:eastAsia="uk-UA"/>
              </w:rPr>
              <w:t>обладнання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0D3100" w:rsidRDefault="000D3100" w:rsidP="0087291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shd w:val="clear" w:color="auto" w:fill="auto"/>
          </w:tcPr>
          <w:p w:rsidR="000D3100" w:rsidRDefault="000D3100" w:rsidP="0087291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422" w:type="dxa"/>
            <w:shd w:val="clear" w:color="auto" w:fill="auto"/>
          </w:tcPr>
          <w:p w:rsidR="000D3100" w:rsidRDefault="000D3100" w:rsidP="0087291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shd w:val="clear" w:color="auto" w:fill="auto"/>
          </w:tcPr>
          <w:p w:rsidR="000D3100" w:rsidRDefault="000D3100" w:rsidP="0087291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0D3100" w:rsidRPr="00F05FA7" w:rsidRDefault="000D3100" w:rsidP="0087291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0D3100" w:rsidRDefault="000D3100" w:rsidP="0087291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5000,0</w:t>
            </w:r>
          </w:p>
        </w:tc>
      </w:tr>
      <w:tr w:rsidR="000D3100" w:rsidRPr="008752B6" w:rsidTr="003D3971">
        <w:trPr>
          <w:trHeight w:val="118"/>
        </w:trPr>
        <w:tc>
          <w:tcPr>
            <w:tcW w:w="2186" w:type="dxa"/>
            <w:shd w:val="clear" w:color="auto" w:fill="auto"/>
          </w:tcPr>
          <w:p w:rsidR="000D3100" w:rsidRDefault="000D3100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291" w:type="dxa"/>
            <w:shd w:val="clear" w:color="auto" w:fill="auto"/>
          </w:tcPr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1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10000,0</w:t>
            </w:r>
          </w:p>
        </w:tc>
        <w:tc>
          <w:tcPr>
            <w:tcW w:w="1422" w:type="dxa"/>
            <w:shd w:val="clear" w:color="auto" w:fill="auto"/>
          </w:tcPr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10000,0</w:t>
            </w:r>
          </w:p>
        </w:tc>
        <w:tc>
          <w:tcPr>
            <w:tcW w:w="1140" w:type="dxa"/>
            <w:shd w:val="clear" w:color="auto" w:fill="auto"/>
          </w:tcPr>
          <w:p w:rsidR="000D3100" w:rsidRDefault="000D310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1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0D3100" w:rsidRDefault="000D310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10000,0</w:t>
            </w:r>
          </w:p>
        </w:tc>
        <w:tc>
          <w:tcPr>
            <w:tcW w:w="1271" w:type="dxa"/>
            <w:shd w:val="clear" w:color="auto" w:fill="auto"/>
          </w:tcPr>
          <w:p w:rsidR="000D3100" w:rsidRDefault="000D310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10000,0</w:t>
            </w:r>
          </w:p>
        </w:tc>
      </w:tr>
      <w:tr w:rsidR="000D3100" w:rsidRPr="008752B6" w:rsidTr="003D3971">
        <w:trPr>
          <w:trHeight w:val="118"/>
        </w:trPr>
        <w:tc>
          <w:tcPr>
            <w:tcW w:w="2186" w:type="dxa"/>
            <w:shd w:val="clear" w:color="auto" w:fill="auto"/>
          </w:tcPr>
          <w:p w:rsidR="000D3100" w:rsidRDefault="000D3100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Експертиза проектно-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кошорисної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 xml:space="preserve"> документації</w:t>
            </w:r>
          </w:p>
        </w:tc>
        <w:tc>
          <w:tcPr>
            <w:tcW w:w="1291" w:type="dxa"/>
            <w:shd w:val="clear" w:color="auto" w:fill="auto"/>
          </w:tcPr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shd w:val="clear" w:color="auto" w:fill="auto"/>
          </w:tcPr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422" w:type="dxa"/>
            <w:shd w:val="clear" w:color="auto" w:fill="auto"/>
          </w:tcPr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2000,0</w:t>
            </w:r>
          </w:p>
        </w:tc>
        <w:tc>
          <w:tcPr>
            <w:tcW w:w="1140" w:type="dxa"/>
            <w:shd w:val="clear" w:color="auto" w:fill="auto"/>
          </w:tcPr>
          <w:p w:rsidR="000D3100" w:rsidRDefault="000D310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0D3100" w:rsidRDefault="000D310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0D3100" w:rsidRDefault="000D3100" w:rsidP="008813BC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3000,0</w:t>
            </w:r>
          </w:p>
        </w:tc>
      </w:tr>
      <w:tr w:rsidR="000D3100" w:rsidRPr="008752B6" w:rsidTr="003D3971">
        <w:trPr>
          <w:trHeight w:val="120"/>
        </w:trPr>
        <w:tc>
          <w:tcPr>
            <w:tcW w:w="2186" w:type="dxa"/>
            <w:shd w:val="clear" w:color="auto" w:fill="auto"/>
          </w:tcPr>
          <w:p w:rsidR="000D3100" w:rsidRDefault="000D3100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Технічний нагляд</w:t>
            </w:r>
          </w:p>
        </w:tc>
        <w:tc>
          <w:tcPr>
            <w:tcW w:w="1291" w:type="dxa"/>
            <w:shd w:val="clear" w:color="auto" w:fill="auto"/>
          </w:tcPr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shd w:val="clear" w:color="auto" w:fill="auto"/>
          </w:tcPr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422" w:type="dxa"/>
            <w:shd w:val="clear" w:color="auto" w:fill="auto"/>
          </w:tcPr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10000,0</w:t>
            </w:r>
          </w:p>
        </w:tc>
        <w:tc>
          <w:tcPr>
            <w:tcW w:w="1140" w:type="dxa"/>
            <w:shd w:val="clear" w:color="auto" w:fill="auto"/>
          </w:tcPr>
          <w:p w:rsidR="000D3100" w:rsidRDefault="000D310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0D3100" w:rsidRDefault="000D310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0D3100" w:rsidRDefault="000D3100" w:rsidP="000D3100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12000,0</w:t>
            </w:r>
          </w:p>
        </w:tc>
      </w:tr>
      <w:tr w:rsidR="000D3100" w:rsidRPr="008752B6" w:rsidTr="003D3971">
        <w:trPr>
          <w:trHeight w:val="120"/>
        </w:trPr>
        <w:tc>
          <w:tcPr>
            <w:tcW w:w="2186" w:type="dxa"/>
            <w:shd w:val="clear" w:color="auto" w:fill="auto"/>
          </w:tcPr>
          <w:p w:rsidR="000D3100" w:rsidRDefault="000D3100" w:rsidP="008813BC">
            <w:pPr>
              <w:pStyle w:val="Default"/>
              <w:ind w:right="340"/>
              <w:jc w:val="both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вишукувальні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роботи</w:t>
            </w:r>
            <w:proofErr w:type="spellEnd"/>
            <w:r>
              <w:rPr>
                <w:lang w:eastAsia="uk-UA"/>
              </w:rPr>
              <w:t>;</w:t>
            </w:r>
          </w:p>
          <w:p w:rsidR="000D3100" w:rsidRDefault="000D3100" w:rsidP="008813BC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proofErr w:type="spellStart"/>
            <w:r>
              <w:rPr>
                <w:lang w:eastAsia="uk-UA"/>
              </w:rPr>
              <w:t>кошторисний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прибуток</w:t>
            </w:r>
            <w:proofErr w:type="spellEnd"/>
            <w:r>
              <w:rPr>
                <w:lang w:eastAsia="uk-UA"/>
              </w:rPr>
              <w:t xml:space="preserve">; </w:t>
            </w:r>
            <w:proofErr w:type="spellStart"/>
            <w:proofErr w:type="gramStart"/>
            <w:r>
              <w:rPr>
                <w:lang w:eastAsia="uk-UA"/>
              </w:rPr>
              <w:t>адм</w:t>
            </w:r>
            <w:proofErr w:type="gramEnd"/>
            <w:r>
              <w:rPr>
                <w:lang w:eastAsia="uk-UA"/>
              </w:rPr>
              <w:t>іністративні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витрати</w:t>
            </w:r>
            <w:proofErr w:type="spellEnd"/>
            <w:r>
              <w:rPr>
                <w:lang w:eastAsia="uk-UA"/>
              </w:rPr>
              <w:t xml:space="preserve">; </w:t>
            </w:r>
            <w:proofErr w:type="spellStart"/>
            <w:r>
              <w:rPr>
                <w:lang w:eastAsia="uk-UA"/>
              </w:rPr>
              <w:t>авторський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нагляд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shd w:val="clear" w:color="auto" w:fill="auto"/>
          </w:tcPr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422" w:type="dxa"/>
            <w:shd w:val="clear" w:color="auto" w:fill="auto"/>
          </w:tcPr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shd w:val="clear" w:color="auto" w:fill="auto"/>
          </w:tcPr>
          <w:p w:rsidR="000D3100" w:rsidRPr="00F05FA7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0D3100" w:rsidRPr="00F05FA7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5000,0</w:t>
            </w:r>
          </w:p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14000,0</w:t>
            </w:r>
          </w:p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6100,0</w:t>
            </w:r>
          </w:p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0D3100" w:rsidRPr="00F05FA7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3000,0</w:t>
            </w:r>
          </w:p>
        </w:tc>
      </w:tr>
      <w:tr w:rsidR="000D3100" w:rsidRPr="008752B6" w:rsidTr="003D3971">
        <w:trPr>
          <w:trHeight w:val="390"/>
        </w:trPr>
        <w:tc>
          <w:tcPr>
            <w:tcW w:w="2186" w:type="dxa"/>
            <w:shd w:val="clear" w:color="auto" w:fill="auto"/>
          </w:tcPr>
          <w:p w:rsidR="000D3100" w:rsidRDefault="000D3100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proofErr w:type="spellStart"/>
            <w:r w:rsidRPr="00C07BC6">
              <w:rPr>
                <w:lang w:eastAsia="uk-UA"/>
              </w:rPr>
              <w:t>Непередбачені</w:t>
            </w:r>
            <w:proofErr w:type="spellEnd"/>
            <w:r w:rsidRPr="00C07BC6">
              <w:rPr>
                <w:lang w:eastAsia="uk-UA"/>
              </w:rPr>
              <w:t xml:space="preserve"> </w:t>
            </w:r>
            <w:proofErr w:type="spellStart"/>
            <w:r w:rsidRPr="00C07BC6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shd w:val="clear" w:color="auto" w:fill="auto"/>
          </w:tcPr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422" w:type="dxa"/>
            <w:shd w:val="clear" w:color="auto" w:fill="auto"/>
          </w:tcPr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shd w:val="clear" w:color="auto" w:fill="auto"/>
          </w:tcPr>
          <w:p w:rsidR="000D3100" w:rsidRPr="00F05FA7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5%</w:t>
            </w:r>
          </w:p>
        </w:tc>
        <w:tc>
          <w:tcPr>
            <w:tcW w:w="1271" w:type="dxa"/>
            <w:shd w:val="clear" w:color="auto" w:fill="auto"/>
          </w:tcPr>
          <w:p w:rsidR="000D3100" w:rsidRPr="00F05FA7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0D3100" w:rsidRPr="00F05FA7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24900,0</w:t>
            </w:r>
          </w:p>
        </w:tc>
      </w:tr>
      <w:tr w:rsidR="000D3100" w:rsidRPr="008752B6" w:rsidTr="003D3971">
        <w:trPr>
          <w:trHeight w:val="135"/>
        </w:trPr>
        <w:tc>
          <w:tcPr>
            <w:tcW w:w="2186" w:type="dxa"/>
            <w:shd w:val="clear" w:color="auto" w:fill="auto"/>
          </w:tcPr>
          <w:p w:rsidR="000D3100" w:rsidRPr="00C96153" w:rsidRDefault="000D3100" w:rsidP="00353E74">
            <w:pPr>
              <w:pStyle w:val="Default"/>
              <w:ind w:right="3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Інфляція</w:t>
            </w:r>
          </w:p>
        </w:tc>
        <w:tc>
          <w:tcPr>
            <w:tcW w:w="1291" w:type="dxa"/>
            <w:shd w:val="clear" w:color="auto" w:fill="auto"/>
          </w:tcPr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shd w:val="clear" w:color="auto" w:fill="auto"/>
          </w:tcPr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422" w:type="dxa"/>
            <w:shd w:val="clear" w:color="auto" w:fill="auto"/>
          </w:tcPr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shd w:val="clear" w:color="auto" w:fill="auto"/>
          </w:tcPr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10%</w:t>
            </w:r>
          </w:p>
        </w:tc>
        <w:tc>
          <w:tcPr>
            <w:tcW w:w="1271" w:type="dxa"/>
            <w:shd w:val="clear" w:color="auto" w:fill="auto"/>
          </w:tcPr>
          <w:p w:rsidR="000D3100" w:rsidRPr="00F05FA7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0D3100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49800,0</w:t>
            </w:r>
          </w:p>
        </w:tc>
      </w:tr>
      <w:tr w:rsidR="000D3100" w:rsidRPr="008813BC" w:rsidTr="003D3971">
        <w:trPr>
          <w:trHeight w:val="375"/>
        </w:trPr>
        <w:tc>
          <w:tcPr>
            <w:tcW w:w="2186" w:type="dxa"/>
            <w:shd w:val="clear" w:color="auto" w:fill="auto"/>
          </w:tcPr>
          <w:p w:rsidR="000D3100" w:rsidRPr="008813BC" w:rsidRDefault="000D3100" w:rsidP="00353E74">
            <w:pPr>
              <w:pStyle w:val="Default"/>
              <w:ind w:right="340"/>
              <w:jc w:val="both"/>
              <w:rPr>
                <w:b/>
                <w:lang w:val="uk-UA" w:eastAsia="uk-UA"/>
              </w:rPr>
            </w:pPr>
            <w:r w:rsidRPr="008813BC">
              <w:rPr>
                <w:b/>
                <w:lang w:val="uk-UA" w:eastAsia="uk-UA"/>
              </w:rPr>
              <w:t>Всього</w:t>
            </w:r>
          </w:p>
        </w:tc>
        <w:tc>
          <w:tcPr>
            <w:tcW w:w="1291" w:type="dxa"/>
            <w:shd w:val="clear" w:color="auto" w:fill="auto"/>
          </w:tcPr>
          <w:p w:rsidR="000D3100" w:rsidRPr="008813BC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shd w:val="clear" w:color="auto" w:fill="auto"/>
          </w:tcPr>
          <w:p w:rsidR="000D3100" w:rsidRPr="008813BC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422" w:type="dxa"/>
            <w:shd w:val="clear" w:color="auto" w:fill="auto"/>
          </w:tcPr>
          <w:p w:rsidR="000D3100" w:rsidRPr="008813BC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8813BC">
              <w:rPr>
                <w:rFonts w:eastAsia="Arial Unicode MS"/>
                <w:b/>
                <w:sz w:val="22"/>
                <w:szCs w:val="22"/>
                <w:lang w:val="uk-UA"/>
              </w:rPr>
              <w:t>498000,0</w:t>
            </w:r>
          </w:p>
        </w:tc>
        <w:tc>
          <w:tcPr>
            <w:tcW w:w="1140" w:type="dxa"/>
            <w:shd w:val="clear" w:color="auto" w:fill="auto"/>
          </w:tcPr>
          <w:p w:rsidR="000D3100" w:rsidRPr="008813BC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0D3100" w:rsidRPr="008813BC" w:rsidRDefault="000D3100" w:rsidP="00F05FA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0D3100" w:rsidRPr="008813BC" w:rsidRDefault="000D3100" w:rsidP="000D3100">
            <w:pPr>
              <w:pStyle w:val="Default"/>
              <w:ind w:right="-143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605168,0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 складає </w:t>
      </w:r>
      <w:r w:rsidR="00C931D7" w:rsidRPr="00C931D7">
        <w:t>498000,0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0D3100">
        <w:t>605168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0D3100">
      <w:pPr>
        <w:pStyle w:val="Default"/>
        <w:ind w:right="340"/>
        <w:jc w:val="both"/>
        <w:rPr>
          <w:b/>
        </w:rPr>
      </w:pPr>
      <w:r>
        <w:t>Орієнтовна вар</w:t>
      </w:r>
      <w:r w:rsidR="003D3971">
        <w:t xml:space="preserve">тість будівництва складає </w:t>
      </w:r>
      <w:r w:rsidR="000D3100">
        <w:t>605168</w:t>
      </w:r>
      <w:r w:rsidR="003D3971">
        <w:t>,00</w:t>
      </w:r>
      <w:r>
        <w:t xml:space="preserve"> грн, а остаточна вартість визначається робочим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 </w:t>
      </w:r>
      <w:r w:rsidR="000D3100">
        <w:t xml:space="preserve">доставку </w:t>
      </w:r>
      <w:proofErr w:type="spellStart"/>
      <w:r w:rsidR="000D3100">
        <w:t>обладнання</w:t>
      </w:r>
      <w:proofErr w:type="spellEnd"/>
      <w:r w:rsidR="000D3100">
        <w:t>,</w:t>
      </w:r>
      <w:r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вишукувальні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роботи</w:t>
      </w:r>
      <w:proofErr w:type="spellEnd"/>
      <w:r w:rsidR="000D3100">
        <w:rPr>
          <w:lang w:val="uk-UA" w:eastAsia="uk-UA"/>
        </w:rPr>
        <w:t xml:space="preserve">,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proofErr w:type="gramStart"/>
      <w:r w:rsidR="000D3100">
        <w:rPr>
          <w:lang w:eastAsia="uk-UA"/>
        </w:rPr>
        <w:t>адм</w:t>
      </w:r>
      <w:proofErr w:type="gramEnd"/>
      <w:r w:rsidR="000D3100">
        <w:rPr>
          <w:lang w:eastAsia="uk-UA"/>
        </w:rPr>
        <w:t>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авторський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нагляд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>непередбачені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 xml:space="preserve"> та кошти на покриття </w:t>
      </w:r>
      <w:proofErr w:type="spellStart"/>
      <w:r>
        <w:t>інфляційн</w:t>
      </w:r>
      <w:r w:rsidR="000D3100">
        <w:rPr>
          <w:lang w:val="uk-UA"/>
        </w:rPr>
        <w:t>их</w:t>
      </w:r>
      <w:proofErr w:type="spellEnd"/>
      <w:r w:rsidR="000D3100">
        <w:rPr>
          <w:lang w:val="uk-UA"/>
        </w:rPr>
        <w:t xml:space="preserve"> ризиків</w:t>
      </w:r>
      <w:r>
        <w:t xml:space="preserve">. </w:t>
      </w:r>
      <w:proofErr w:type="spellStart"/>
      <w:r>
        <w:t>Крім</w:t>
      </w:r>
      <w:proofErr w:type="spellEnd"/>
      <w:r>
        <w:t xml:space="preserve"> того, автором  проекту </w:t>
      </w:r>
      <w:proofErr w:type="spellStart"/>
      <w:r w:rsidR="000D3100">
        <w:rPr>
          <w:lang w:val="uk-UA"/>
        </w:rPr>
        <w:t>занижено</w:t>
      </w:r>
      <w:proofErr w:type="spellEnd"/>
      <w:r w:rsidR="000D3100">
        <w:rPr>
          <w:lang w:val="uk-UA"/>
        </w:rPr>
        <w:t xml:space="preserve"> витрати на придбання дерну, проведення експертизи проектно-кошторисної документації та здійснення технічного нагляду, а також </w:t>
      </w:r>
      <w:r>
        <w:t xml:space="preserve">не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дренажна</w:t>
      </w:r>
      <w:proofErr w:type="spellEnd"/>
      <w:r>
        <w:t xml:space="preserve"> система футбольного поля.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lastRenderedPageBreak/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>
        <w:t>605168</w:t>
      </w:r>
      <w:r w:rsidRPr="000D3100">
        <w:t xml:space="preserve">,00 грн, що на </w:t>
      </w:r>
      <w:r>
        <w:t>105168</w:t>
      </w:r>
      <w:bookmarkStart w:id="0" w:name="_GoBack"/>
      <w:bookmarkEnd w:id="0"/>
      <w:r w:rsidRPr="000D3100">
        <w:t>,00 грн перевищує суму визначену абзацом 4 пункту</w:t>
      </w:r>
      <w:r w:rsidRPr="00163547">
        <w:t> </w:t>
      </w:r>
      <w:r w:rsidRPr="000D3100">
        <w:t>3 розділу 1 «Загальні положення» Положення про громадський (</w:t>
      </w:r>
      <w:proofErr w:type="spellStart"/>
      <w:r w:rsidRPr="000D3100">
        <w:t>партиципаторний</w:t>
      </w:r>
      <w:proofErr w:type="spellEnd"/>
      <w:r w:rsidRPr="000D3100">
        <w:t>) бюджет м.</w:t>
      </w:r>
      <w:r w:rsidRPr="00163547">
        <w:t> </w:t>
      </w:r>
      <w:r w:rsidRPr="000D3100">
        <w:t>Суми,  затвердженого рішенням ХХ</w:t>
      </w:r>
      <w:r w:rsidRPr="00163547">
        <w:rPr>
          <w:lang w:val="en-US"/>
        </w:rPr>
        <w:t>V</w:t>
      </w:r>
      <w:r w:rsidRPr="000D3100">
        <w:t xml:space="preserve">ІІ сесії Сумської міської ради </w:t>
      </w:r>
      <w:r w:rsidRPr="00163547">
        <w:rPr>
          <w:lang w:val="en-US"/>
        </w:rPr>
        <w:t>V</w:t>
      </w:r>
      <w:r w:rsidRPr="000D3100">
        <w:t>ІІ скликання від 14.06.2017 №</w:t>
      </w:r>
      <w:r w:rsidRPr="00163547">
        <w:t> </w:t>
      </w:r>
      <w:r w:rsidRPr="000D3100">
        <w:t>2209-МР «</w:t>
      </w:r>
      <w:r w:rsidRPr="000D3100">
        <w:rPr>
          <w:rFonts w:ascii="inherit" w:hAnsi="inherit"/>
          <w:iCs/>
          <w:bdr w:val="none" w:sz="0" w:space="0" w:color="auto" w:frame="1"/>
        </w:rPr>
        <w:t xml:space="preserve">Про </w:t>
      </w:r>
      <w:r w:rsidRPr="000D3100">
        <w:rPr>
          <w:iCs/>
          <w:bdr w:val="none" w:sz="0" w:space="0" w:color="auto" w:frame="1"/>
        </w:rPr>
        <w:t>внесення змін до рішення Сумської міської ради від 30 березня 2016 року № 504 – МР «Про запровадження громадського (</w:t>
      </w:r>
      <w:proofErr w:type="spellStart"/>
      <w:r w:rsidRPr="000D3100">
        <w:rPr>
          <w:iCs/>
          <w:bdr w:val="none" w:sz="0" w:space="0" w:color="auto" w:frame="1"/>
        </w:rPr>
        <w:t>партиципаторного</w:t>
      </w:r>
      <w:proofErr w:type="spellEnd"/>
      <w:r w:rsidRPr="000D3100">
        <w:rPr>
          <w:iCs/>
          <w:bdr w:val="none" w:sz="0" w:space="0" w:color="auto" w:frame="1"/>
        </w:rPr>
        <w:t>) бюджету м. Суми» (зі змінами)»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___________                        ________________                ______________________________</w:t>
      </w:r>
    </w:p>
    <w:p w:rsidR="004E013D" w:rsidRPr="008752B6" w:rsidRDefault="004E013D" w:rsidP="004E013D">
      <w:pPr>
        <w:pStyle w:val="Default"/>
        <w:ind w:left="6379" w:right="340" w:hanging="6379"/>
        <w:rPr>
          <w:i/>
          <w:iCs/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p w:rsidR="005F30A5" w:rsidRDefault="005F30A5"/>
    <w:sectPr w:rsidR="005F30A5" w:rsidSect="004E0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13D"/>
    <w:rsid w:val="00074214"/>
    <w:rsid w:val="000D3100"/>
    <w:rsid w:val="001A5C41"/>
    <w:rsid w:val="003D3971"/>
    <w:rsid w:val="003E7051"/>
    <w:rsid w:val="004E013D"/>
    <w:rsid w:val="00506662"/>
    <w:rsid w:val="00527E45"/>
    <w:rsid w:val="005340FA"/>
    <w:rsid w:val="005F30A5"/>
    <w:rsid w:val="005F7F0C"/>
    <w:rsid w:val="0061342D"/>
    <w:rsid w:val="007A3C0A"/>
    <w:rsid w:val="008035D6"/>
    <w:rsid w:val="008813BC"/>
    <w:rsid w:val="00892E0E"/>
    <w:rsid w:val="009D5AD6"/>
    <w:rsid w:val="00A47E64"/>
    <w:rsid w:val="00A60B5B"/>
    <w:rsid w:val="00B63B9C"/>
    <w:rsid w:val="00C931D7"/>
    <w:rsid w:val="00C96153"/>
    <w:rsid w:val="00D62CE0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5157</Words>
  <Characters>2941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2017-10-25T06:47:00Z</cp:lastPrinted>
  <dcterms:created xsi:type="dcterms:W3CDTF">2017-10-25T08:32:00Z</dcterms:created>
  <dcterms:modified xsi:type="dcterms:W3CDTF">2017-10-31T13:26:00Z</dcterms:modified>
</cp:coreProperties>
</file>