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D77E76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u w:val="single"/>
          <w:lang w:val="uk-UA"/>
        </w:rPr>
        <w:t>Спортивний майданчик з вуличними тренажерами для дітей та дорослих</w:t>
      </w:r>
    </w:p>
    <w:bookmarkEnd w:id="0"/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D77E76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D77E76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D77E76" w:rsidP="003E7D8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D77E76" w:rsidP="003E7D80"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4D825"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CD860"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E7D80">
        <w:rPr>
          <w:lang w:val="uk-UA"/>
        </w:rPr>
        <w:t>так</w:t>
      </w:r>
    </w:p>
    <w:p w:rsidR="003E7D80" w:rsidRDefault="004E013D" w:rsidP="003E7D8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3E7D80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</w:t>
      </w:r>
    </w:p>
    <w:p w:rsidR="003E7D80" w:rsidRPr="008752B6" w:rsidRDefault="003E7D80" w:rsidP="003E7D80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82BAE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8752B6">
        <w:rPr>
          <w:lang w:val="uk-UA"/>
        </w:rPr>
        <w:t xml:space="preserve">;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982BAE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982BAE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982BAE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Жим від грудей SL 101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18100,00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Верхня тяга SL 102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14800,00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Жим ногами горизонтальний SL 103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Маятник SL 104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Тренажер пресу анатомічний SL 106 ZEС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 м`язів </w:t>
            </w:r>
            <w:proofErr w:type="spellStart"/>
            <w:r>
              <w:rPr>
                <w:color w:val="000000"/>
              </w:rPr>
              <w:t>брюшного</w:t>
            </w:r>
            <w:proofErr w:type="spellEnd"/>
            <w:r>
              <w:rPr>
                <w:color w:val="000000"/>
              </w:rPr>
              <w:t xml:space="preserve"> пресу SL 109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Повітряний ходок SL 115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Орбітрек</w:t>
            </w:r>
            <w:proofErr w:type="spellEnd"/>
            <w:r>
              <w:rPr>
                <w:color w:val="000000"/>
              </w:rPr>
              <w:t xml:space="preserve"> SL 116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Турнік SL 117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Розгинач стегна SL 126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9300,00</w:t>
            </w:r>
          </w:p>
        </w:tc>
      </w:tr>
      <w:tr w:rsidR="00982BAE" w:rsidRPr="008752B6" w:rsidTr="00982BAE">
        <w:tc>
          <w:tcPr>
            <w:tcW w:w="2186" w:type="dxa"/>
            <w:shd w:val="clear" w:color="auto" w:fill="auto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Батерфляй SL 128 ZEC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  <w:tc>
          <w:tcPr>
            <w:tcW w:w="126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  <w:tc>
          <w:tcPr>
            <w:tcW w:w="1289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  <w:tc>
          <w:tcPr>
            <w:tcW w:w="1270" w:type="dxa"/>
            <w:shd w:val="clear" w:color="auto" w:fill="auto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 для м'язів біцепсу SL </w:t>
            </w:r>
            <w:r>
              <w:rPr>
                <w:color w:val="000000"/>
              </w:rPr>
              <w:lastRenderedPageBreak/>
              <w:t>129 ZEC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</w:rPr>
            </w:pPr>
            <w:r>
              <w:rPr>
                <w:color w:val="000000"/>
              </w:rPr>
              <w:t>Гребний тренажер SL 135 ZEC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Степпер</w:t>
            </w:r>
            <w:proofErr w:type="spellEnd"/>
            <w:r>
              <w:rPr>
                <w:color w:val="000000"/>
              </w:rPr>
              <w:t xml:space="preserve"> SL 136 ZEC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Доставка тренажерів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350 км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17,00 грн/км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5950,00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416A2D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Огорожа </w:t>
            </w:r>
            <w:r>
              <w:rPr>
                <w:color w:val="000000"/>
                <w:lang w:val="en-US" w:eastAsia="uk-UA"/>
              </w:rPr>
              <w:t>S</w:t>
            </w:r>
            <w:r>
              <w:rPr>
                <w:color w:val="000000"/>
                <w:lang w:eastAsia="uk-UA"/>
              </w:rPr>
              <w:t>737.1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793,00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39650,00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1400,00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70000,00</w:t>
            </w:r>
          </w:p>
        </w:tc>
      </w:tr>
      <w:tr w:rsidR="00F70735" w:rsidRPr="008752B6" w:rsidTr="007C4C7F">
        <w:tc>
          <w:tcPr>
            <w:tcW w:w="2186" w:type="dxa"/>
            <w:shd w:val="clear" w:color="auto" w:fill="auto"/>
            <w:vAlign w:val="bottom"/>
          </w:tcPr>
          <w:p w:rsidR="00F70735" w:rsidRDefault="00F70735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Демонтаж старого </w:t>
            </w:r>
            <w:proofErr w:type="spellStart"/>
            <w:r>
              <w:rPr>
                <w:color w:val="000000"/>
                <w:lang w:eastAsia="uk-UA"/>
              </w:rPr>
              <w:t>майджанчика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F70735" w:rsidRPr="007A5399" w:rsidRDefault="00F70735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735" w:rsidRPr="007A5399" w:rsidRDefault="00F70735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F70735" w:rsidRDefault="00F70735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F70735" w:rsidRPr="007A5399" w:rsidRDefault="00F70735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70735" w:rsidRPr="007A5399" w:rsidRDefault="00F70735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F70735" w:rsidRDefault="00F70735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10000,00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Роботи зі встановлення тренажерів та огорожі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40000,00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Доставка обладнання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Монтаж обладнання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57050,00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Вишукувальні роботи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Розробка проектно-кошторисної документації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15410,00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проектно-кошторисної документації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Авторський нагляд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Кошторисний прибуток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7900,00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3600,00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bCs/>
                <w:color w:val="000000"/>
                <w:lang w:eastAsia="uk-UA"/>
              </w:rPr>
            </w:pPr>
            <w:r w:rsidRPr="007A5399">
              <w:rPr>
                <w:bCs/>
                <w:color w:val="000000"/>
                <w:lang w:eastAsia="uk-UA"/>
              </w:rPr>
              <w:t>Непередбачені витрати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  <w:r w:rsidRPr="007A5399">
              <w:rPr>
                <w:color w:val="000000"/>
                <w:lang w:eastAsia="uk-UA"/>
              </w:rPr>
              <w:t>0000</w:t>
            </w:r>
            <w:r>
              <w:rPr>
                <w:color w:val="000000"/>
                <w:lang w:eastAsia="uk-UA"/>
              </w:rPr>
              <w:t>,00</w:t>
            </w:r>
          </w:p>
        </w:tc>
      </w:tr>
      <w:tr w:rsidR="00982BAE" w:rsidRPr="008752B6" w:rsidTr="007C4C7F">
        <w:tc>
          <w:tcPr>
            <w:tcW w:w="218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Кошти на покриття інфляційних ризиків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BAE" w:rsidRPr="007A5399" w:rsidRDefault="00982BAE" w:rsidP="00F75FCC">
            <w:pPr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 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982BAE" w:rsidRPr="007A5399" w:rsidRDefault="00982BAE" w:rsidP="00F75FCC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40000</w:t>
            </w:r>
            <w:r>
              <w:rPr>
                <w:color w:val="000000"/>
                <w:lang w:eastAsia="uk-UA"/>
              </w:rPr>
              <w:t>,00</w:t>
            </w:r>
          </w:p>
        </w:tc>
      </w:tr>
      <w:tr w:rsidR="00982BAE" w:rsidRPr="00982BAE" w:rsidTr="00982BAE">
        <w:tc>
          <w:tcPr>
            <w:tcW w:w="2186" w:type="dxa"/>
            <w:shd w:val="clear" w:color="auto" w:fill="auto"/>
          </w:tcPr>
          <w:p w:rsidR="00982BAE" w:rsidRPr="00982BAE" w:rsidRDefault="00982BA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982BAE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982BAE" w:rsidRPr="00982BAE" w:rsidRDefault="00982BA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82BAE" w:rsidRPr="00982BAE" w:rsidRDefault="00982BA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982BAE" w:rsidRPr="00982BAE" w:rsidRDefault="00982BAE" w:rsidP="00982BAE">
            <w:pPr>
              <w:pStyle w:val="Default"/>
              <w:ind w:right="-109"/>
              <w:jc w:val="both"/>
              <w:rPr>
                <w:rFonts w:eastAsia="Arial Unicode MS"/>
                <w:b/>
                <w:lang w:val="uk-UA"/>
              </w:rPr>
            </w:pPr>
            <w:r w:rsidRPr="00982BAE">
              <w:rPr>
                <w:rFonts w:eastAsia="Arial Unicode MS"/>
                <w:b/>
                <w:lang w:val="uk-UA"/>
              </w:rPr>
              <w:t>243800,00</w:t>
            </w:r>
          </w:p>
        </w:tc>
        <w:tc>
          <w:tcPr>
            <w:tcW w:w="1289" w:type="dxa"/>
            <w:shd w:val="clear" w:color="auto" w:fill="auto"/>
          </w:tcPr>
          <w:p w:rsidR="00982BAE" w:rsidRPr="00982BAE" w:rsidRDefault="00982BA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BAE" w:rsidRPr="00982BAE" w:rsidRDefault="00982BAE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982BAE" w:rsidRPr="00982BAE" w:rsidRDefault="00B56AE7" w:rsidP="00B56AE7">
            <w:pPr>
              <w:pStyle w:val="Default"/>
              <w:tabs>
                <w:tab w:val="left" w:pos="1360"/>
              </w:tabs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409</w:t>
            </w:r>
            <w:r w:rsidR="00982BAE" w:rsidRPr="00982BAE">
              <w:rPr>
                <w:rFonts w:eastAsia="Arial Unicode MS"/>
                <w:b/>
                <w:lang w:val="uk-UA"/>
              </w:rPr>
              <w:t>160,00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D77E76">
        <w:t>243800</w:t>
      </w:r>
      <w:r w:rsidR="00BE7A7E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B56AE7">
        <w:t>409</w:t>
      </w:r>
      <w:r w:rsidR="00982BAE">
        <w:t>160,00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982BAE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Орієнтовна вартість будівництва складає </w:t>
      </w:r>
      <w:r w:rsidR="00B56AE7">
        <w:t>409</w:t>
      </w:r>
      <w:r>
        <w:t xml:space="preserve">160,00 грн, а остаточна вартість визначається робочим проектом. При розрахунку вартості проекту автором не враховано витрати на вишукувальні роботи, розробку проектно-кошторисної документації та проведення її експертизи, авторський та технічний нагляд, кошторисний прибуток, адміністративні витрати, кошти на покриття інфляційних ризиків та непередбачені витрати, </w:t>
      </w:r>
      <w:proofErr w:type="spellStart"/>
      <w:r>
        <w:t>занижено</w:t>
      </w:r>
      <w:proofErr w:type="spellEnd"/>
      <w:r>
        <w:t xml:space="preserve"> витрати на придбання огорожі, доставку та монтаж обладнання.</w:t>
      </w:r>
    </w:p>
    <w:p w:rsidR="00982BAE" w:rsidRPr="008752B6" w:rsidRDefault="00982BAE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982BAE">
        <w:rPr>
          <w:b/>
          <w:u w:val="single"/>
        </w:rPr>
        <w:t>позитивно</w:t>
      </w:r>
    </w:p>
    <w:p w:rsidR="004E013D" w:rsidRPr="008752B6" w:rsidRDefault="004E013D" w:rsidP="00081822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982BAE">
        <w:t>негативно</w:t>
      </w:r>
      <w:r w:rsidRPr="008752B6">
        <w:t xml:space="preserve">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982BAE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982BAE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81822" w:rsidRDefault="00081822" w:rsidP="004E013D">
      <w:pPr>
        <w:pStyle w:val="Default"/>
        <w:ind w:right="340"/>
        <w:rPr>
          <w:lang w:val="uk-UA"/>
        </w:rPr>
      </w:pPr>
    </w:p>
    <w:p w:rsidR="00081822" w:rsidRDefault="00081822" w:rsidP="004E013D">
      <w:pPr>
        <w:pStyle w:val="Default"/>
        <w:ind w:right="340"/>
        <w:rPr>
          <w:lang w:val="uk-UA"/>
        </w:rPr>
      </w:pPr>
    </w:p>
    <w:p w:rsidR="00081822" w:rsidRDefault="00081822" w:rsidP="00081822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081822" w:rsidRDefault="00081822" w:rsidP="00081822">
      <w:pPr>
        <w:pStyle w:val="Default"/>
        <w:ind w:left="6379" w:right="340" w:hanging="6379"/>
        <w:rPr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RPr="00081822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81822"/>
    <w:rsid w:val="003616AA"/>
    <w:rsid w:val="003E7D80"/>
    <w:rsid w:val="00404D2C"/>
    <w:rsid w:val="00457E81"/>
    <w:rsid w:val="004E013D"/>
    <w:rsid w:val="004F06C9"/>
    <w:rsid w:val="005E282D"/>
    <w:rsid w:val="005F30A5"/>
    <w:rsid w:val="009573A3"/>
    <w:rsid w:val="00982BAE"/>
    <w:rsid w:val="00AE7A18"/>
    <w:rsid w:val="00B13F96"/>
    <w:rsid w:val="00B56AE7"/>
    <w:rsid w:val="00BE7A7E"/>
    <w:rsid w:val="00C57F29"/>
    <w:rsid w:val="00D77E76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578B-AEDB-46F0-BC37-D2DB141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8</cp:revision>
  <dcterms:created xsi:type="dcterms:W3CDTF">2017-10-25T12:45:00Z</dcterms:created>
  <dcterms:modified xsi:type="dcterms:W3CDTF">2017-11-03T14:07:00Z</dcterms:modified>
</cp:coreProperties>
</file>