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 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«Купол бачення/</w:t>
      </w:r>
      <w:proofErr w:type="spellStart"/>
      <w:r>
        <w:rPr>
          <w:b/>
          <w:bCs/>
          <w:sz w:val="28"/>
          <w:szCs w:val="28"/>
          <w:lang w:val="uk-UA"/>
        </w:rPr>
        <w:t>Dome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of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Visions</w:t>
      </w:r>
      <w:proofErr w:type="spellEnd"/>
      <w:r w:rsidR="00A47E64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(культурний простір у геодезичному куполі)»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234F39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074214">
        <w:rPr>
          <w:lang w:val="uk-UA"/>
        </w:rPr>
        <w:t>20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4E013D">
      <w:pPr>
        <w:pStyle w:val="Default"/>
        <w:ind w:right="340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A47E64">
        <w:rPr>
          <w:b/>
          <w:u w:val="single"/>
          <w:lang w:val="uk-UA"/>
        </w:rPr>
        <w:t xml:space="preserve">ні 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</w:t>
      </w:r>
      <w:bookmarkStart w:id="0" w:name="_GoBack"/>
      <w:bookmarkEnd w:id="0"/>
      <w:r w:rsidRPr="008752B6">
        <w:rPr>
          <w:lang w:val="uk-UA"/>
        </w:rPr>
        <w:t>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BA171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BA1716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133"/>
        <w:gridCol w:w="1271"/>
        <w:gridCol w:w="1413"/>
        <w:gridCol w:w="1133"/>
        <w:gridCol w:w="1305"/>
        <w:gridCol w:w="1413"/>
      </w:tblGrid>
      <w:tr w:rsidR="004E5D40" w:rsidRPr="008752B6" w:rsidTr="006C48E1">
        <w:trPr>
          <w:trHeight w:val="419"/>
        </w:trPr>
        <w:tc>
          <w:tcPr>
            <w:tcW w:w="1109" w:type="pct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1937" w:type="pct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1602C0" w:rsidRPr="008752B6" w:rsidTr="006C48E1">
        <w:tc>
          <w:tcPr>
            <w:tcW w:w="1109" w:type="pct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575" w:type="pct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645" w:type="pct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717" w:type="pct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575" w:type="pct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662" w:type="pct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717" w:type="pct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6C48E1" w:rsidRPr="008752B6" w:rsidTr="006C48E1">
        <w:tc>
          <w:tcPr>
            <w:tcW w:w="1109" w:type="pct"/>
            <w:shd w:val="clear" w:color="auto" w:fill="auto"/>
          </w:tcPr>
          <w:p w:rsidR="006C48E1" w:rsidRPr="00F05FA7" w:rsidRDefault="006C48E1" w:rsidP="00C4071D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Підготовка проектної документації</w:t>
            </w: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B63B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6C48E1" w:rsidRPr="00F05FA7" w:rsidRDefault="006C48E1" w:rsidP="00B63B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69000,0</w:t>
            </w: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69000,0</w:t>
            </w: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</w:tr>
      <w:tr w:rsidR="006C48E1" w:rsidRPr="008752B6" w:rsidTr="006C48E1">
        <w:tc>
          <w:tcPr>
            <w:tcW w:w="1109" w:type="pct"/>
            <w:shd w:val="clear" w:color="auto" w:fill="auto"/>
          </w:tcPr>
          <w:p w:rsidR="006C48E1" w:rsidRPr="00F05FA7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Встановлення платформи під каркас</w:t>
            </w: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350 м</w:t>
            </w:r>
            <w:r w:rsidRPr="00074214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45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105000,0</w:t>
            </w: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 м</w:t>
            </w:r>
            <w:r w:rsidRPr="00074214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266,7</w:t>
            </w: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80000,0</w:t>
            </w:r>
          </w:p>
        </w:tc>
      </w:tr>
      <w:tr w:rsidR="006C48E1" w:rsidRPr="008752B6" w:rsidTr="006C48E1">
        <w:tc>
          <w:tcPr>
            <w:tcW w:w="1109" w:type="pct"/>
            <w:shd w:val="clear" w:color="auto" w:fill="auto"/>
          </w:tcPr>
          <w:p w:rsidR="006C48E1" w:rsidRPr="00074214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Спорудження каркасу геодезичного куполу V4 ікосаедра, діаметром 21м, висотою 10,5 м</w:t>
            </w: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6000,0</w:t>
            </w: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6000,0</w:t>
            </w: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6000,0</w:t>
            </w: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6000,0</w:t>
            </w:r>
          </w:p>
        </w:tc>
      </w:tr>
      <w:tr w:rsidR="006C48E1" w:rsidRPr="008752B6" w:rsidTr="006C48E1">
        <w:trPr>
          <w:trHeight w:val="615"/>
        </w:trPr>
        <w:tc>
          <w:tcPr>
            <w:tcW w:w="1109" w:type="pct"/>
            <w:shd w:val="clear" w:color="auto" w:fill="auto"/>
          </w:tcPr>
          <w:p w:rsidR="006C48E1" w:rsidRPr="00074214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Дерев’</w:t>
            </w:r>
            <w:proofErr w:type="spellStart"/>
            <w:r w:rsidRPr="00074214">
              <w:rPr>
                <w:rFonts w:eastAsia="Arial Unicode MS"/>
                <w:sz w:val="22"/>
                <w:szCs w:val="22"/>
              </w:rPr>
              <w:t>яні</w:t>
            </w:r>
            <w:proofErr w:type="spellEnd"/>
            <w:r w:rsidRPr="00074214">
              <w:rPr>
                <w:rFonts w:eastAsia="Arial Unicode MS"/>
                <w:sz w:val="22"/>
                <w:szCs w:val="22"/>
              </w:rPr>
              <w:t xml:space="preserve"> балки д. </w:t>
            </w:r>
            <w:r>
              <w:rPr>
                <w:rFonts w:eastAsia="Arial Unicode MS"/>
                <w:sz w:val="22"/>
                <w:szCs w:val="22"/>
                <w:lang w:val="uk-UA"/>
              </w:rPr>
              <w:t>200 см, ш.10см, в. 30 см.</w:t>
            </w: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</w:t>
            </w:r>
          </w:p>
        </w:tc>
        <w:tc>
          <w:tcPr>
            <w:tcW w:w="645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236,0</w:t>
            </w: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59000,0</w:t>
            </w: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</w:t>
            </w:r>
          </w:p>
        </w:tc>
        <w:tc>
          <w:tcPr>
            <w:tcW w:w="662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240,0</w:t>
            </w: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60000,0</w:t>
            </w:r>
          </w:p>
        </w:tc>
      </w:tr>
      <w:tr w:rsidR="006C48E1" w:rsidRPr="008752B6" w:rsidTr="006C48E1">
        <w:trPr>
          <w:trHeight w:val="135"/>
        </w:trPr>
        <w:tc>
          <w:tcPr>
            <w:tcW w:w="1109" w:type="pct"/>
            <w:shd w:val="clear" w:color="auto" w:fill="auto"/>
          </w:tcPr>
          <w:p w:rsidR="006C48E1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256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5-6-9-кутників з гнучкого прозорого пластику з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уф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>-захистом 3-5 мм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850 м</w:t>
            </w:r>
            <w:r w:rsidRPr="00074214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365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311000,0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740 м</w:t>
            </w:r>
            <w:r w:rsidRPr="00074214">
              <w:rPr>
                <w:rFonts w:eastAsia="Arial Unicode MS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337,8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250000,0</w:t>
            </w:r>
          </w:p>
        </w:tc>
      </w:tr>
      <w:tr w:rsidR="006C48E1" w:rsidRPr="008752B6" w:rsidTr="006C48E1">
        <w:trPr>
          <w:trHeight w:val="118"/>
        </w:trPr>
        <w:tc>
          <w:tcPr>
            <w:tcW w:w="1109" w:type="pct"/>
            <w:shd w:val="clear" w:color="auto" w:fill="auto"/>
          </w:tcPr>
          <w:p w:rsidR="006C48E1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Болти для кріплення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конекторів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та </w:t>
            </w: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листів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5500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5500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5,45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</w:tr>
      <w:tr w:rsidR="006C48E1" w:rsidRPr="008752B6" w:rsidTr="006C48E1">
        <w:trPr>
          <w:trHeight w:val="118"/>
        </w:trPr>
        <w:tc>
          <w:tcPr>
            <w:tcW w:w="1109" w:type="pct"/>
            <w:shd w:val="clear" w:color="auto" w:fill="auto"/>
          </w:tcPr>
          <w:p w:rsidR="006C48E1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Внутрішня двохярусна споруда із бруса, тераса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BA1716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80000,0</w:t>
            </w:r>
          </w:p>
        </w:tc>
      </w:tr>
      <w:tr w:rsidR="006C48E1" w:rsidRPr="008752B6" w:rsidTr="006C48E1">
        <w:trPr>
          <w:trHeight w:val="135"/>
        </w:trPr>
        <w:tc>
          <w:tcPr>
            <w:tcW w:w="1109" w:type="pct"/>
            <w:shd w:val="clear" w:color="auto" w:fill="auto"/>
          </w:tcPr>
          <w:p w:rsidR="006C48E1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Озеленення (багаторічні дерева, квіти, мульча)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666,6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</w:tr>
      <w:tr w:rsidR="006C48E1" w:rsidRPr="008752B6" w:rsidTr="006C48E1">
        <w:trPr>
          <w:trHeight w:val="135"/>
        </w:trPr>
        <w:tc>
          <w:tcPr>
            <w:tcW w:w="1109" w:type="pct"/>
            <w:shd w:val="clear" w:color="auto" w:fill="auto"/>
          </w:tcPr>
          <w:p w:rsidR="006C48E1" w:rsidRDefault="006C48E1" w:rsidP="00C4071D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Екологічні меблі із деревини (пуфи, стільці, лави, столи, стільниці)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50000,0</w:t>
            </w:r>
          </w:p>
        </w:tc>
      </w:tr>
      <w:tr w:rsidR="006C48E1" w:rsidRPr="008752B6" w:rsidTr="006C48E1">
        <w:trPr>
          <w:trHeight w:val="90"/>
        </w:trPr>
        <w:tc>
          <w:tcPr>
            <w:tcW w:w="1109" w:type="pct"/>
            <w:shd w:val="clear" w:color="auto" w:fill="auto"/>
          </w:tcPr>
          <w:p w:rsidR="006C48E1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Система «розумний будинок» (контролер температури, вологості, вентиляції)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BA1716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</w:tr>
      <w:tr w:rsidR="006C48E1" w:rsidRPr="008752B6" w:rsidTr="006C48E1">
        <w:trPr>
          <w:trHeight w:val="103"/>
        </w:trPr>
        <w:tc>
          <w:tcPr>
            <w:tcW w:w="1109" w:type="pct"/>
            <w:shd w:val="clear" w:color="auto" w:fill="auto"/>
          </w:tcPr>
          <w:p w:rsidR="006C48E1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Система опалення (піч реактивного горіння)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BA1716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60000,0</w:t>
            </w:r>
          </w:p>
        </w:tc>
      </w:tr>
      <w:tr w:rsidR="006C48E1" w:rsidRPr="008752B6" w:rsidTr="006C48E1">
        <w:trPr>
          <w:trHeight w:val="135"/>
        </w:trPr>
        <w:tc>
          <w:tcPr>
            <w:tcW w:w="1109" w:type="pct"/>
            <w:shd w:val="clear" w:color="auto" w:fill="auto"/>
          </w:tcPr>
          <w:p w:rsidR="006C48E1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Санвузол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BA1716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C48E1" w:rsidRPr="008752B6" w:rsidTr="006C48E1">
        <w:trPr>
          <w:trHeight w:val="120"/>
        </w:trPr>
        <w:tc>
          <w:tcPr>
            <w:tcW w:w="1109" w:type="pct"/>
            <w:shd w:val="clear" w:color="auto" w:fill="auto"/>
          </w:tcPr>
          <w:p w:rsidR="006C48E1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Система освітлення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BA1716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15000,0</w:t>
            </w:r>
          </w:p>
        </w:tc>
      </w:tr>
      <w:tr w:rsidR="006C48E1" w:rsidRPr="008752B6" w:rsidTr="006C48E1">
        <w:trPr>
          <w:trHeight w:val="120"/>
        </w:trPr>
        <w:tc>
          <w:tcPr>
            <w:tcW w:w="1109" w:type="pct"/>
            <w:shd w:val="clear" w:color="auto" w:fill="auto"/>
          </w:tcPr>
          <w:p w:rsidR="006C48E1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Технічне оснащення (проектор, екран, аудіо, інтернет)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BA1716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7500,0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7500,0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30000,0</w:t>
            </w:r>
          </w:p>
        </w:tc>
      </w:tr>
      <w:tr w:rsidR="006C48E1" w:rsidRPr="008752B6" w:rsidTr="006C48E1">
        <w:trPr>
          <w:trHeight w:val="118"/>
        </w:trPr>
        <w:tc>
          <w:tcPr>
            <w:tcW w:w="1109" w:type="pct"/>
            <w:shd w:val="clear" w:color="auto" w:fill="auto"/>
          </w:tcPr>
          <w:p w:rsidR="006C48E1" w:rsidRDefault="006C48E1" w:rsidP="001A5C41">
            <w:pPr>
              <w:pStyle w:val="Default"/>
              <w:tabs>
                <w:tab w:val="left" w:pos="1380"/>
              </w:tabs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Оформлення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внутрішного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декору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6C48E1" w:rsidRDefault="006C48E1" w:rsidP="00BA1716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10000,0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  <w:tc>
          <w:tcPr>
            <w:tcW w:w="717" w:type="pct"/>
            <w:shd w:val="clear" w:color="auto" w:fill="auto"/>
          </w:tcPr>
          <w:p w:rsidR="006C48E1" w:rsidRDefault="006C48E1" w:rsidP="00C372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</w:tc>
      </w:tr>
      <w:tr w:rsidR="006C48E1" w:rsidRPr="008752B6" w:rsidTr="006C48E1">
        <w:trPr>
          <w:trHeight w:val="75"/>
        </w:trPr>
        <w:tc>
          <w:tcPr>
            <w:tcW w:w="1109" w:type="pct"/>
            <w:shd w:val="clear" w:color="auto" w:fill="auto"/>
          </w:tcPr>
          <w:p w:rsidR="006C48E1" w:rsidRPr="004E5D40" w:rsidRDefault="006C48E1" w:rsidP="00BA1716">
            <w:pPr>
              <w:pStyle w:val="Default"/>
              <w:ind w:right="340"/>
              <w:jc w:val="both"/>
              <w:rPr>
                <w:rFonts w:eastAsia="Arial Unicode MS"/>
                <w:color w:val="FF0000"/>
                <w:sz w:val="22"/>
                <w:szCs w:val="22"/>
                <w:lang w:val="uk-UA"/>
              </w:rPr>
            </w:pPr>
            <w:r>
              <w:rPr>
                <w:lang w:val="uk-UA" w:eastAsia="uk-UA"/>
              </w:rPr>
              <w:t>Е</w:t>
            </w:r>
            <w:r w:rsidRPr="004E5D40">
              <w:rPr>
                <w:lang w:val="uk-UA" w:eastAsia="uk-UA"/>
              </w:rPr>
              <w:t>кспертиза проекту; здійснення технічного нагляду; вишукувальні роботи; кошторисний прибуток; адміністрат</w:t>
            </w:r>
            <w:r>
              <w:rPr>
                <w:lang w:val="uk-UA" w:eastAsia="uk-UA"/>
              </w:rPr>
              <w:t>ивні витрати; авторський нагляд</w:t>
            </w: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45" w:type="pct"/>
            <w:shd w:val="clear" w:color="auto" w:fill="auto"/>
          </w:tcPr>
          <w:p w:rsidR="006C48E1" w:rsidRDefault="006C48E1" w:rsidP="00BA1716">
            <w:pPr>
              <w:pStyle w:val="Default"/>
              <w:tabs>
                <w:tab w:val="left" w:pos="1012"/>
              </w:tabs>
              <w:ind w:right="-12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3000,0</w:t>
            </w: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20000,0</w:t>
            </w: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5000,0</w:t>
            </w: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25000,0</w:t>
            </w: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12000,0</w:t>
            </w:r>
          </w:p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3000,0</w:t>
            </w:r>
          </w:p>
        </w:tc>
      </w:tr>
      <w:tr w:rsidR="006C48E1" w:rsidRPr="008752B6" w:rsidTr="006C48E1">
        <w:trPr>
          <w:trHeight w:val="375"/>
        </w:trPr>
        <w:tc>
          <w:tcPr>
            <w:tcW w:w="1109" w:type="pct"/>
            <w:shd w:val="clear" w:color="auto" w:fill="auto"/>
          </w:tcPr>
          <w:p w:rsidR="006C48E1" w:rsidRPr="004E5D40" w:rsidRDefault="006C48E1" w:rsidP="001602C0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proofErr w:type="spellStart"/>
            <w:r w:rsidRPr="00C07BC6">
              <w:rPr>
                <w:lang w:eastAsia="uk-UA"/>
              </w:rPr>
              <w:t>Непередбачені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4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5%</w:t>
            </w:r>
          </w:p>
        </w:tc>
        <w:tc>
          <w:tcPr>
            <w:tcW w:w="662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6C48E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50000,0</w:t>
            </w:r>
          </w:p>
        </w:tc>
      </w:tr>
      <w:tr w:rsidR="006C48E1" w:rsidRPr="008752B6" w:rsidTr="006C48E1">
        <w:trPr>
          <w:trHeight w:val="103"/>
        </w:trPr>
        <w:tc>
          <w:tcPr>
            <w:tcW w:w="1109" w:type="pct"/>
            <w:shd w:val="clear" w:color="auto" w:fill="auto"/>
          </w:tcPr>
          <w:p w:rsidR="006C48E1" w:rsidRDefault="006C48E1" w:rsidP="004E5D40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Інфляція</w:t>
            </w:r>
          </w:p>
          <w:p w:rsidR="006C48E1" w:rsidRDefault="006C48E1" w:rsidP="004E5D40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57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645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575" w:type="pct"/>
            <w:shd w:val="clear" w:color="auto" w:fill="auto"/>
          </w:tcPr>
          <w:p w:rsidR="006C48E1" w:rsidRPr="00F05FA7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10%</w:t>
            </w:r>
          </w:p>
        </w:tc>
        <w:tc>
          <w:tcPr>
            <w:tcW w:w="662" w:type="pct"/>
            <w:shd w:val="clear" w:color="auto" w:fill="auto"/>
          </w:tcPr>
          <w:p w:rsidR="006C48E1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6C48E1" w:rsidRPr="00F05FA7" w:rsidRDefault="006C48E1" w:rsidP="006C48E1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100000,0</w:t>
            </w:r>
          </w:p>
        </w:tc>
      </w:tr>
      <w:tr w:rsidR="006C48E1" w:rsidRPr="001828F0" w:rsidTr="006C48E1">
        <w:trPr>
          <w:trHeight w:val="75"/>
        </w:trPr>
        <w:tc>
          <w:tcPr>
            <w:tcW w:w="1109" w:type="pct"/>
            <w:shd w:val="clear" w:color="auto" w:fill="auto"/>
          </w:tcPr>
          <w:p w:rsidR="006C48E1" w:rsidRPr="001828F0" w:rsidRDefault="006C48E1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1828F0">
              <w:rPr>
                <w:rFonts w:eastAsia="Arial Unicode MS"/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75" w:type="pct"/>
            <w:shd w:val="clear" w:color="auto" w:fill="auto"/>
          </w:tcPr>
          <w:p w:rsidR="006C48E1" w:rsidRPr="001828F0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645" w:type="pct"/>
            <w:shd w:val="clear" w:color="auto" w:fill="auto"/>
          </w:tcPr>
          <w:p w:rsidR="006C48E1" w:rsidRPr="001828F0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6C48E1" w:rsidRPr="001828F0" w:rsidRDefault="006C48E1" w:rsidP="00BA1716">
            <w:pPr>
              <w:pStyle w:val="Default"/>
              <w:ind w:right="-165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1828F0">
              <w:rPr>
                <w:rFonts w:eastAsia="Arial Unicode MS"/>
                <w:b/>
                <w:sz w:val="22"/>
                <w:szCs w:val="22"/>
                <w:lang w:val="uk-UA"/>
              </w:rPr>
              <w:t>1000000,0</w:t>
            </w:r>
          </w:p>
        </w:tc>
        <w:tc>
          <w:tcPr>
            <w:tcW w:w="575" w:type="pct"/>
            <w:shd w:val="clear" w:color="auto" w:fill="auto"/>
          </w:tcPr>
          <w:p w:rsidR="006C48E1" w:rsidRPr="001828F0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662" w:type="pct"/>
            <w:shd w:val="clear" w:color="auto" w:fill="auto"/>
          </w:tcPr>
          <w:p w:rsidR="006C48E1" w:rsidRPr="001828F0" w:rsidRDefault="006C48E1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717" w:type="pct"/>
            <w:shd w:val="clear" w:color="auto" w:fill="auto"/>
          </w:tcPr>
          <w:p w:rsidR="006C48E1" w:rsidRPr="001828F0" w:rsidRDefault="006C48E1" w:rsidP="00BA1716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999000</w:t>
            </w:r>
            <w:r w:rsidRPr="001828F0">
              <w:rPr>
                <w:rFonts w:eastAsia="Arial Unicode MS"/>
                <w:b/>
                <w:sz w:val="22"/>
                <w:szCs w:val="22"/>
                <w:lang w:val="uk-UA"/>
              </w:rPr>
              <w:t>,0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 складає </w:t>
      </w:r>
      <w:r w:rsidR="005F776A" w:rsidRPr="005F776A">
        <w:rPr>
          <w:b/>
        </w:rPr>
        <w:t>1000000,0</w:t>
      </w:r>
      <w:r w:rsidR="00F05FA7"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lastRenderedPageBreak/>
        <w:t>Загальна сума проекту, відкоригована згідно з зауваженнями виконавч</w:t>
      </w:r>
      <w:r w:rsidR="004E5D40">
        <w:t xml:space="preserve">ого органу, складає </w:t>
      </w:r>
      <w:r w:rsidR="006C48E1">
        <w:rPr>
          <w:b/>
        </w:rPr>
        <w:t>999000</w:t>
      </w:r>
      <w:r w:rsidR="001241FD">
        <w:rPr>
          <w:b/>
        </w:rPr>
        <w:t>,0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4E5D40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>Орієнтовна вартість будівництва складає</w:t>
      </w:r>
      <w:r w:rsidR="002B6958">
        <w:t xml:space="preserve"> </w:t>
      </w:r>
      <w:r w:rsidR="006C48E1">
        <w:t>999000</w:t>
      </w:r>
      <w:r w:rsidR="001241FD">
        <w:t>,0</w:t>
      </w:r>
      <w:r>
        <w:t xml:space="preserve">  грн, а остаточна вартість визначається робочим проектом. При розрахунку вартості проекту автором не враховано витрати на </w:t>
      </w:r>
      <w:r>
        <w:rPr>
          <w:lang w:eastAsia="uk-UA"/>
        </w:rPr>
        <w:t>експертизу проекту</w:t>
      </w:r>
      <w:r w:rsidR="00C4071D">
        <w:rPr>
          <w:lang w:eastAsia="uk-UA"/>
        </w:rPr>
        <w:t>,</w:t>
      </w:r>
      <w:r>
        <w:rPr>
          <w:lang w:eastAsia="uk-UA"/>
        </w:rPr>
        <w:t xml:space="preserve"> здійснення технічного</w:t>
      </w:r>
      <w:r w:rsidR="00C4071D">
        <w:rPr>
          <w:lang w:eastAsia="uk-UA"/>
        </w:rPr>
        <w:t xml:space="preserve"> та авторського</w:t>
      </w:r>
      <w:r>
        <w:rPr>
          <w:lang w:eastAsia="uk-UA"/>
        </w:rPr>
        <w:t xml:space="preserve"> нагляду</w:t>
      </w:r>
      <w:r w:rsidR="00C4071D">
        <w:rPr>
          <w:lang w:eastAsia="uk-UA"/>
        </w:rPr>
        <w:t>,</w:t>
      </w:r>
      <w:r>
        <w:rPr>
          <w:lang w:eastAsia="uk-UA"/>
        </w:rPr>
        <w:t xml:space="preserve"> вишукувальні роботи</w:t>
      </w:r>
      <w:r w:rsidR="00C4071D">
        <w:rPr>
          <w:lang w:eastAsia="uk-UA"/>
        </w:rPr>
        <w:t>,</w:t>
      </w:r>
      <w:r>
        <w:rPr>
          <w:lang w:eastAsia="uk-UA"/>
        </w:rPr>
        <w:t xml:space="preserve"> кошторисний прибуток</w:t>
      </w:r>
      <w:r w:rsidR="00C4071D">
        <w:rPr>
          <w:lang w:eastAsia="uk-UA"/>
        </w:rPr>
        <w:t>,</w:t>
      </w:r>
      <w:r>
        <w:rPr>
          <w:lang w:eastAsia="uk-UA"/>
        </w:rPr>
        <w:t xml:space="preserve"> адміністративні витрати</w:t>
      </w:r>
      <w:r w:rsidR="00C4071D">
        <w:rPr>
          <w:lang w:eastAsia="uk-UA"/>
        </w:rPr>
        <w:t xml:space="preserve">, непередбачені витрати та кошти на покриття </w:t>
      </w:r>
      <w:r>
        <w:t>інфляційн</w:t>
      </w:r>
      <w:r w:rsidR="00C4071D">
        <w:t>их ризиків</w:t>
      </w:r>
      <w:r>
        <w:t xml:space="preserve">. Крім того, </w:t>
      </w:r>
      <w:r w:rsidR="001241FD">
        <w:t xml:space="preserve">автором проекту </w:t>
      </w:r>
      <w:r w:rsidR="006C48E1">
        <w:t>зменшено розміри конструкції</w:t>
      </w:r>
      <w:r w:rsidR="001241FD">
        <w:t>.</w:t>
      </w:r>
    </w:p>
    <w:p w:rsidR="001241FD" w:rsidRPr="008752B6" w:rsidRDefault="001241F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C48E1">
        <w:t>позитивно</w:t>
      </w:r>
    </w:p>
    <w:p w:rsidR="004E013D" w:rsidRDefault="004E013D" w:rsidP="00C4071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C48E1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C4071D" w:rsidRDefault="004E013D" w:rsidP="00C4071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C4071D" w:rsidRDefault="00C4071D" w:rsidP="004E013D">
      <w:pPr>
        <w:pStyle w:val="Default"/>
        <w:ind w:right="340"/>
        <w:rPr>
          <w:lang w:val="uk-UA"/>
        </w:rPr>
      </w:pPr>
    </w:p>
    <w:p w:rsidR="00C4071D" w:rsidRDefault="00C4071D" w:rsidP="004E013D">
      <w:pPr>
        <w:pStyle w:val="Default"/>
        <w:ind w:right="340"/>
        <w:rPr>
          <w:lang w:val="uk-UA"/>
        </w:rPr>
      </w:pPr>
    </w:p>
    <w:p w:rsidR="00234F39" w:rsidRDefault="00234F39" w:rsidP="00234F39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234F39" w:rsidRDefault="00234F39" w:rsidP="00234F39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Pr="00234F39" w:rsidRDefault="005F30A5">
      <w:pPr>
        <w:rPr>
          <w:lang w:val="ru-RU"/>
        </w:rPr>
      </w:pPr>
    </w:p>
    <w:sectPr w:rsidR="005F30A5" w:rsidRPr="00234F39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074214"/>
    <w:rsid w:val="000974B8"/>
    <w:rsid w:val="001241FD"/>
    <w:rsid w:val="001602C0"/>
    <w:rsid w:val="001828F0"/>
    <w:rsid w:val="001A5C41"/>
    <w:rsid w:val="00234F39"/>
    <w:rsid w:val="002B6958"/>
    <w:rsid w:val="002B6A2A"/>
    <w:rsid w:val="003F00AE"/>
    <w:rsid w:val="004100BC"/>
    <w:rsid w:val="004E013D"/>
    <w:rsid w:val="004E5D40"/>
    <w:rsid w:val="005340FA"/>
    <w:rsid w:val="005F30A5"/>
    <w:rsid w:val="005F776A"/>
    <w:rsid w:val="005F7F0C"/>
    <w:rsid w:val="0061342D"/>
    <w:rsid w:val="006C48E1"/>
    <w:rsid w:val="00A47E64"/>
    <w:rsid w:val="00A60B5B"/>
    <w:rsid w:val="00B63B9C"/>
    <w:rsid w:val="00BA1716"/>
    <w:rsid w:val="00C4071D"/>
    <w:rsid w:val="00D62CE0"/>
    <w:rsid w:val="00DE2A3E"/>
    <w:rsid w:val="00F01035"/>
    <w:rsid w:val="00F0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4377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2017-10-25T06:47:00Z</cp:lastPrinted>
  <dcterms:created xsi:type="dcterms:W3CDTF">2017-10-25T08:10:00Z</dcterms:created>
  <dcterms:modified xsi:type="dcterms:W3CDTF">2017-11-10T07:34:00Z</dcterms:modified>
</cp:coreProperties>
</file>