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63" w:rsidRPr="008A76A1" w:rsidRDefault="008A76A1" w:rsidP="008A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A76A1">
        <w:rPr>
          <w:rFonts w:ascii="Times New Roman" w:hAnsi="Times New Roman" w:cs="Times New Roman"/>
          <w:b/>
          <w:sz w:val="28"/>
          <w:szCs w:val="28"/>
        </w:rPr>
        <w:t>Кошторис</w:t>
      </w:r>
      <w:proofErr w:type="spellEnd"/>
      <w:r w:rsidRPr="008A76A1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:rsidR="008A76A1" w:rsidRDefault="008A76A1" w:rsidP="008A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A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A76A1">
        <w:rPr>
          <w:rFonts w:ascii="Times New Roman" w:hAnsi="Times New Roman" w:cs="Times New Roman"/>
          <w:b/>
          <w:sz w:val="28"/>
          <w:szCs w:val="28"/>
        </w:rPr>
        <w:t>Спортивний</w:t>
      </w:r>
      <w:proofErr w:type="spellEnd"/>
      <w:r w:rsidRPr="008A76A1">
        <w:rPr>
          <w:rFonts w:ascii="Times New Roman" w:hAnsi="Times New Roman" w:cs="Times New Roman"/>
          <w:b/>
          <w:sz w:val="28"/>
          <w:szCs w:val="28"/>
        </w:rPr>
        <w:t xml:space="preserve"> центр «</w:t>
      </w:r>
      <w:r w:rsidRPr="008A76A1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Pr="008A76A1">
        <w:rPr>
          <w:rFonts w:ascii="Times New Roman" w:hAnsi="Times New Roman" w:cs="Times New Roman"/>
          <w:b/>
          <w:sz w:val="28"/>
          <w:szCs w:val="28"/>
        </w:rPr>
        <w:t>дн</w:t>
      </w:r>
      <w:proofErr w:type="spellEnd"/>
      <w:r w:rsidRPr="008A76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8A76A1">
        <w:rPr>
          <w:rFonts w:ascii="Times New Roman" w:hAnsi="Times New Roman" w:cs="Times New Roman"/>
          <w:b/>
          <w:sz w:val="28"/>
          <w:szCs w:val="28"/>
        </w:rPr>
        <w:t>сть</w:t>
      </w:r>
      <w:proofErr w:type="spellEnd"/>
      <w:r w:rsidRPr="008A76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6A1">
        <w:rPr>
          <w:rFonts w:ascii="Times New Roman" w:hAnsi="Times New Roman" w:cs="Times New Roman"/>
          <w:b/>
          <w:sz w:val="28"/>
          <w:szCs w:val="28"/>
        </w:rPr>
        <w:t>нац</w:t>
      </w:r>
      <w:r w:rsidRPr="008A76A1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proofErr w:type="spellEnd"/>
      <w:r w:rsidRPr="008A76A1">
        <w:rPr>
          <w:rFonts w:ascii="Times New Roman" w:hAnsi="Times New Roman" w:cs="Times New Roman"/>
          <w:b/>
          <w:sz w:val="28"/>
          <w:szCs w:val="28"/>
        </w:rPr>
        <w:t>»</w:t>
      </w:r>
    </w:p>
    <w:p w:rsidR="008A76A1" w:rsidRDefault="008A76A1" w:rsidP="008A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1134"/>
        <w:gridCol w:w="1134"/>
      </w:tblGrid>
      <w:tr w:rsidR="008A76A1" w:rsidRPr="008A76A1" w:rsidTr="00E874A1">
        <w:trPr>
          <w:trHeight w:val="419"/>
        </w:trPr>
        <w:tc>
          <w:tcPr>
            <w:tcW w:w="3227" w:type="dxa"/>
            <w:vMerge w:val="restart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  <w:p w:rsidR="008A76A1" w:rsidRPr="008A76A1" w:rsidRDefault="008A76A1" w:rsidP="008A76A1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8A76A1">
              <w:rPr>
                <w:rFonts w:eastAsia="Arial Unicode MS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A76A1" w:rsidRPr="008A76A1" w:rsidRDefault="008A76A1" w:rsidP="008A76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A76A1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A76A1" w:rsidRPr="008A76A1" w:rsidRDefault="008A76A1" w:rsidP="008A76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A76A1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8A76A1" w:rsidRPr="008A76A1" w:rsidTr="00E874A1">
        <w:tc>
          <w:tcPr>
            <w:tcW w:w="3227" w:type="dxa"/>
            <w:vMerge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A76A1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A76A1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A76A1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A76A1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A76A1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A76A1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8A76A1" w:rsidRPr="008A76A1" w:rsidTr="00E874A1">
        <w:trPr>
          <w:trHeight w:val="11189"/>
        </w:trPr>
        <w:tc>
          <w:tcPr>
            <w:tcW w:w="3227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Ринг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навісом</w:t>
            </w:r>
            <w:proofErr w:type="spellEnd"/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Складові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Ринг (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майданчик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для боксу</w:t>
            </w:r>
            <w:proofErr w:type="gram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інших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бойових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мистецтв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стаціонарної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установки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накриттям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опадів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Розміри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площадки рингу 5*5 м;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висота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верху площадки до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найнижчої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відмітки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перекриття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4,6 м;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мінімальна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відстань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рівня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землі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прилеглої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верху площадки рингу 0,6 м.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Покриття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рингу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виступати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межі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площадки на 0,3 м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кожної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сторони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підйому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площадку ринг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обладнаний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стаціонарними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сходами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двох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сторін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ширина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ступені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300 мм,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висота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150 мм.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Всі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конструкції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мають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витримувати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навантаження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впливу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навколишнього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середовища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дій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учасників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тренувань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Покриття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площадки не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деформується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під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впливом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навантажень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людей,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займаються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тому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числі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падіннях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стрибках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ін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Всі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мають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задовольняти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травматичної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всі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поверхні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захищені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впливу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зовнішніх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природних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факторів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Периметр площадки рингу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огороджений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еластичними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канатами.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Покриття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площадки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виконане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із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бітумо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-резинового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підвищеної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зносостійкості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зовнішньої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сторони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ринг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обладнати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консольних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виносах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грушами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діаметром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550 мм,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висотою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9800 мм,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атмосферостійкими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закріпленими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цепах в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шт.</w:t>
            </w:r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складається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описі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доставкою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стаціонарним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монтажем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залізобетонний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фундамент.</w:t>
            </w:r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Конструкція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цілому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розрахована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згідно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нормативів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навантаження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впливи</w:t>
            </w:r>
            <w:proofErr w:type="spellEnd"/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370200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370200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370200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370200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Бетонна</w:t>
            </w:r>
            <w:proofErr w:type="spellEnd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основа для </w:t>
            </w:r>
            <w:proofErr w:type="spellStart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встановлення</w:t>
            </w:r>
            <w:proofErr w:type="spellEnd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рингу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40000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Майданчик</w:t>
            </w:r>
            <w:proofErr w:type="spellEnd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бойових</w:t>
            </w:r>
            <w:proofErr w:type="spellEnd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тренажерів</w:t>
            </w:r>
            <w:proofErr w:type="spellEnd"/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Складові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однієї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площадки: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Металева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рама на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стійках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80/80/3 </w:t>
            </w:r>
            <w:proofErr w:type="spellStart"/>
            <w:proofErr w:type="gram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мм,з</w:t>
            </w:r>
            <w:proofErr w:type="spellEnd"/>
            <w:proofErr w:type="gram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перекладинами 60/60/3 мм,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стаціонарної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установки на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залізобетонні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фундаменти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розмірами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плані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4/10 м,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висота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2,5 м,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захищена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атмосферних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впливів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Груша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Силует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1-діаметром 450 мм,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висотою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1100 мм -,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підвищеної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зносостійкості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Груша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Силует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–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діаметром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400 мм,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висотою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1450 мм-,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підвищеної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зносостійкості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Манекен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бойовий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«BANDIT»,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імітація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форми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тіла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людини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виконаний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амортизаційного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- 1шт.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Подушка вертикальна 800/350мм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амортизаційного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- 2шт.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Подушка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аперкот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400/400 мм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амортизаційного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2шт.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Манекен «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Таєць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імітація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форми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тіла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людини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ногами,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виконаний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амортизаційного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- 2шт.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Маківара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силуетна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покриттям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резина - 2шт.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Маківара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маленька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800*150мм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покриття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резина, канат - 4шт.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Маківара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велика</w:t>
            </w:r>
            <w:proofErr w:type="gram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1500*200мм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покриття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резина, канат-2 шт.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Маківара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Він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Чунь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піском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- 2шт.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Колода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бойова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підвісі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1500/</w:t>
            </w:r>
            <w:proofErr w:type="gram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200,з</w:t>
            </w:r>
            <w:proofErr w:type="gram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обмоткою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канатом - 2шт.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Груша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набивна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Спід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Бек з платформою - 1 шт.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Груша на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пружинних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підвісах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 шт.</w:t>
            </w:r>
          </w:p>
          <w:p w:rsidR="008A76A1" w:rsidRPr="008A76A1" w:rsidRDefault="008A76A1" w:rsidP="008A76A1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Хлопушки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таеквондо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- 4 шт.</w:t>
            </w:r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Манекен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бойовий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Вінг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Чунь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1шт.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167800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167800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167800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167800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Монтаж площадки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8A76A1">
              <w:rPr>
                <w:rFonts w:eastAsia="Arial Unicode MS"/>
                <w:sz w:val="20"/>
                <w:szCs w:val="20"/>
                <w:lang w:val="uk-UA"/>
              </w:rPr>
              <w:t>20000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Молот</w:t>
            </w:r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Складові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Молот на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металічному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руків’ї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1200  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мм,вагою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кг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8A76A1">
              <w:rPr>
                <w:rFonts w:eastAsia="Arial Unicode MS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8A76A1">
              <w:rPr>
                <w:rFonts w:eastAsia="Arial Unicode MS"/>
                <w:sz w:val="20"/>
                <w:szCs w:val="20"/>
                <w:lang w:val="uk-UA"/>
              </w:rPr>
              <w:t>1250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8A76A1">
              <w:rPr>
                <w:rFonts w:eastAsia="Arial Unicode MS"/>
                <w:sz w:val="20"/>
                <w:szCs w:val="20"/>
                <w:lang w:val="uk-UA"/>
              </w:rPr>
              <w:t>2500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Гумове</w:t>
            </w:r>
            <w:proofErr w:type="spellEnd"/>
            <w:r w:rsidRPr="008A76A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покриття</w:t>
            </w:r>
            <w:proofErr w:type="spellEnd"/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Покриття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гумової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крихти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>товщиною</w:t>
            </w:r>
            <w:proofErr w:type="spellEnd"/>
            <w:r w:rsidRPr="008A7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10мм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180</w:t>
            </w:r>
            <m:oMath>
              <m:sSup>
                <m:sSupPr>
                  <m:ctrlPr>
                    <w:rPr>
                      <w:rFonts w:ascii="Cambria Math" w:eastAsia="Arial Unicode MS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Arial Unicode MS" w:hAnsi="Cambria Math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eastAsia="Arial Unicode MS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A76A1" w:rsidRPr="008A76A1" w:rsidTr="00E874A1">
        <w:tc>
          <w:tcPr>
            <w:tcW w:w="3227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Огорожа</w:t>
            </w:r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Зварна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панельна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система для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огородження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спортивних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майданчиків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це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потужна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система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огорож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виконані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зварних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оцинкованих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прутів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полімерному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покритті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Панельні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огорожі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мають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велику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жорсткість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>конструкції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і,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отже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захисні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функції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, так як у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виробництві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панелей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цієї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серії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використовуються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горизонтальні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подвійні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прути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більшого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діаметру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приварюються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обидва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боки </w:t>
            </w:r>
            <w:proofErr w:type="spellStart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панелі</w:t>
            </w:r>
            <w:proofErr w:type="spellEnd"/>
            <w:r w:rsidRPr="008A76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  <w:p w:rsidR="008A76A1" w:rsidRPr="008A76A1" w:rsidRDefault="008A76A1" w:rsidP="008A76A1">
            <w:pPr>
              <w:pStyle w:val="2"/>
              <w:spacing w:before="0" w:beforeAutospacing="0" w:after="0" w:afterAutospacing="0"/>
              <w:rPr>
                <w:rFonts w:eastAsia="Arial"/>
                <w:sz w:val="20"/>
                <w:szCs w:val="20"/>
                <w:lang w:val="ru-RU"/>
              </w:rPr>
            </w:pPr>
            <w:bookmarkStart w:id="1" w:name="_3olo6735g4mk"/>
            <w:bookmarkEnd w:id="1"/>
            <w:proofErr w:type="spellStart"/>
            <w:r w:rsidRPr="008A76A1">
              <w:rPr>
                <w:rFonts w:eastAsia="Arial"/>
                <w:sz w:val="20"/>
                <w:szCs w:val="20"/>
                <w:lang w:val="ru-RU"/>
              </w:rPr>
              <w:t>Технічні</w:t>
            </w:r>
            <w:proofErr w:type="spellEnd"/>
            <w:r w:rsidRPr="008A76A1">
              <w:rPr>
                <w:rFonts w:eastAsia="Arial"/>
                <w:sz w:val="20"/>
                <w:szCs w:val="20"/>
                <w:lang w:val="ru-RU"/>
              </w:rPr>
              <w:t xml:space="preserve"> характеристики:</w:t>
            </w:r>
          </w:p>
          <w:p w:rsidR="008A76A1" w:rsidRPr="008A76A1" w:rsidRDefault="008A76A1" w:rsidP="008A76A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Диаметр дроту: 5/6 мм;</w:t>
            </w:r>
          </w:p>
          <w:p w:rsidR="008A76A1" w:rsidRPr="008A76A1" w:rsidRDefault="008A76A1" w:rsidP="008A76A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Розмір</w:t>
            </w:r>
            <w:proofErr w:type="spellEnd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 xml:space="preserve"> полотна </w:t>
            </w:r>
            <w:proofErr w:type="spellStart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сітки</w:t>
            </w:r>
            <w:proofErr w:type="spellEnd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 xml:space="preserve">: 2030х2500 мм (2 </w:t>
            </w:r>
            <w:proofErr w:type="gramStart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шт. )</w:t>
            </w:r>
            <w:proofErr w:type="gramEnd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76A1" w:rsidRPr="008A76A1" w:rsidRDefault="008A76A1" w:rsidP="008A76A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Висота</w:t>
            </w:r>
            <w:proofErr w:type="spellEnd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майданчику</w:t>
            </w:r>
            <w:proofErr w:type="spellEnd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: 4 м;</w:t>
            </w:r>
          </w:p>
          <w:p w:rsidR="008A76A1" w:rsidRPr="008A76A1" w:rsidRDefault="008A76A1" w:rsidP="008A76A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Розмір</w:t>
            </w:r>
            <w:proofErr w:type="spellEnd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профільного</w:t>
            </w:r>
            <w:proofErr w:type="spellEnd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стовпа</w:t>
            </w:r>
            <w:proofErr w:type="spellEnd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: 80х60, L= 5000 мм;</w:t>
            </w:r>
          </w:p>
          <w:p w:rsidR="008A76A1" w:rsidRPr="008A76A1" w:rsidRDefault="008A76A1" w:rsidP="008A76A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елементів</w:t>
            </w:r>
            <w:proofErr w:type="spellEnd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кріплення</w:t>
            </w:r>
            <w:proofErr w:type="spellEnd"/>
            <w:r w:rsidRPr="008A76A1">
              <w:rPr>
                <w:rFonts w:ascii="Times New Roman" w:hAnsi="Times New Roman" w:cs="Times New Roman"/>
                <w:sz w:val="20"/>
                <w:szCs w:val="20"/>
              </w:rPr>
              <w:t>: 12 шт.</w:t>
            </w:r>
          </w:p>
          <w:p w:rsidR="008A76A1" w:rsidRPr="008A76A1" w:rsidRDefault="008A76A1" w:rsidP="008A76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58м.п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104400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58м.п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76A1">
              <w:rPr>
                <w:rFonts w:ascii="Times New Roman" w:eastAsia="Arial Unicode MS" w:hAnsi="Times New Roman" w:cs="Times New Roman"/>
                <w:sz w:val="20"/>
                <w:szCs w:val="20"/>
              </w:rPr>
              <w:t>104400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Улаштування</w:t>
            </w:r>
            <w:proofErr w:type="spellEnd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фундаменту для </w:t>
            </w:r>
            <w:proofErr w:type="spellStart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огорожі</w:t>
            </w:r>
            <w:proofErr w:type="spellEnd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улаштування</w:t>
            </w:r>
            <w:proofErr w:type="spellEnd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опалубки, монтаж </w:t>
            </w:r>
            <w:proofErr w:type="spellStart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стовбів</w:t>
            </w:r>
            <w:proofErr w:type="spellEnd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укладання</w:t>
            </w:r>
            <w:proofErr w:type="spellEnd"/>
            <w:r w:rsidRPr="008A7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бетону)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шт.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огорожі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Доставка </w:t>
            </w: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Розробка</w:t>
            </w:r>
            <w:proofErr w:type="spellEnd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проектно-</w:t>
            </w: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кошторисної</w:t>
            </w:r>
            <w:proofErr w:type="spellEnd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документації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Вишукувальні</w:t>
            </w:r>
            <w:proofErr w:type="spellEnd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роботи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Експертиза</w:t>
            </w:r>
            <w:proofErr w:type="spellEnd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ПКД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Авторський</w:t>
            </w:r>
            <w:proofErr w:type="spellEnd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нагляд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Технічний</w:t>
            </w:r>
            <w:proofErr w:type="spellEnd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нагляд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Кошторисний</w:t>
            </w:r>
            <w:proofErr w:type="spellEnd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Інфляція</w:t>
            </w:r>
            <w:proofErr w:type="spellEnd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непередбачені</w:t>
            </w:r>
            <w:proofErr w:type="spellEnd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6A1" w:rsidRPr="008A76A1" w:rsidRDefault="008A76A1" w:rsidP="008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</w:t>
            </w:r>
          </w:p>
        </w:tc>
      </w:tr>
      <w:tr w:rsidR="008A76A1" w:rsidRPr="008A76A1" w:rsidTr="00E874A1">
        <w:tc>
          <w:tcPr>
            <w:tcW w:w="3227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  <w:r w:rsidRPr="008A76A1">
              <w:rPr>
                <w:rFonts w:eastAsia="Arial Unicode MS"/>
                <w:b/>
                <w:lang w:val="uk-UA"/>
              </w:rPr>
              <w:t>Всього: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-148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8A76A1">
              <w:rPr>
                <w:rFonts w:eastAsia="Arial Unicode MS"/>
                <w:b/>
                <w:sz w:val="20"/>
                <w:szCs w:val="20"/>
                <w:lang w:val="uk-UA"/>
              </w:rPr>
              <w:t>891888,00</w:t>
            </w: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A76A1" w:rsidRPr="008A76A1" w:rsidRDefault="008A76A1" w:rsidP="008A76A1">
            <w:pPr>
              <w:pStyle w:val="Default"/>
              <w:ind w:right="-143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8A76A1">
              <w:rPr>
                <w:rFonts w:eastAsia="Arial Unicode MS"/>
                <w:b/>
                <w:sz w:val="20"/>
                <w:szCs w:val="20"/>
                <w:lang w:val="uk-UA"/>
              </w:rPr>
              <w:t>998900</w:t>
            </w:r>
          </w:p>
        </w:tc>
      </w:tr>
    </w:tbl>
    <w:p w:rsidR="008A76A1" w:rsidRPr="008A76A1" w:rsidRDefault="008A76A1" w:rsidP="008A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6A1" w:rsidRPr="008A76A1" w:rsidSect="008A76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19D5"/>
    <w:multiLevelType w:val="multilevel"/>
    <w:tmpl w:val="51F464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1C51656"/>
    <w:multiLevelType w:val="multilevel"/>
    <w:tmpl w:val="456C978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1"/>
    <w:rsid w:val="00045263"/>
    <w:rsid w:val="000574DA"/>
    <w:rsid w:val="008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ED225-24A1-4D0E-A8E9-2B6F5AA0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6A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Default">
    <w:name w:val="Default"/>
    <w:rsid w:val="008A76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8A76A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2018-03-20T13:07:00Z</dcterms:created>
  <dcterms:modified xsi:type="dcterms:W3CDTF">2018-03-20T13:07:00Z</dcterms:modified>
</cp:coreProperties>
</file>